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9DBB9D" w14:textId="77777777" w:rsidR="00FE1DA5" w:rsidRDefault="00FE1DA5" w:rsidP="006D0F12">
      <w:pPr>
        <w:spacing w:after="0" w:line="240" w:lineRule="auto"/>
        <w:jc w:val="center"/>
        <w:rPr>
          <w:rFonts w:ascii="Arial" w:hAnsi="Arial" w:cs="Arial"/>
          <w:b/>
          <w:sz w:val="28"/>
          <w:szCs w:val="28"/>
          <w:highlight w:val="red"/>
        </w:rPr>
      </w:pPr>
      <w:bookmarkStart w:id="0" w:name="_GoBack"/>
      <w:bookmarkEnd w:id="0"/>
    </w:p>
    <w:p w14:paraId="203357D2" w14:textId="792CB44A" w:rsidR="006D0F12" w:rsidRDefault="006D0F12" w:rsidP="001919C0">
      <w:pPr>
        <w:spacing w:after="0" w:line="240" w:lineRule="auto"/>
        <w:jc w:val="center"/>
        <w:rPr>
          <w:rFonts w:ascii="Arial" w:hAnsi="Arial" w:cs="Arial"/>
          <w:b/>
          <w:sz w:val="40"/>
          <w:szCs w:val="40"/>
        </w:rPr>
      </w:pPr>
      <w:r w:rsidRPr="006D0F12">
        <w:rPr>
          <w:rFonts w:ascii="Arial" w:hAnsi="Arial" w:cs="Arial"/>
          <w:b/>
          <w:sz w:val="40"/>
          <w:szCs w:val="40"/>
        </w:rPr>
        <w:t xml:space="preserve">Annual Compliance Report </w:t>
      </w:r>
      <w:r w:rsidR="001919C0">
        <w:rPr>
          <w:rFonts w:ascii="Arial" w:hAnsi="Arial" w:cs="Arial"/>
          <w:b/>
          <w:sz w:val="40"/>
          <w:szCs w:val="40"/>
        </w:rPr>
        <w:br/>
      </w:r>
      <w:r w:rsidRPr="006D0F12">
        <w:rPr>
          <w:rFonts w:ascii="Arial" w:hAnsi="Arial" w:cs="Arial"/>
          <w:b/>
          <w:sz w:val="40"/>
          <w:szCs w:val="40"/>
        </w:rPr>
        <w:t>for FSP</w:t>
      </w:r>
      <w:r w:rsidR="001919C0">
        <w:rPr>
          <w:rFonts w:ascii="Arial" w:hAnsi="Arial" w:cs="Arial"/>
          <w:b/>
          <w:sz w:val="40"/>
          <w:szCs w:val="40"/>
        </w:rPr>
        <w:t xml:space="preserve"> </w:t>
      </w:r>
      <w:r w:rsidRPr="006D0F12">
        <w:rPr>
          <w:rFonts w:ascii="Arial" w:hAnsi="Arial" w:cs="Arial"/>
          <w:b/>
          <w:sz w:val="40"/>
          <w:szCs w:val="40"/>
        </w:rPr>
        <w:t>without Compliance Officer</w:t>
      </w:r>
      <w:r w:rsidR="001919C0">
        <w:rPr>
          <w:rFonts w:ascii="Arial" w:hAnsi="Arial" w:cs="Arial"/>
          <w:b/>
          <w:sz w:val="40"/>
          <w:szCs w:val="40"/>
        </w:rPr>
        <w:t xml:space="preserve"> </w:t>
      </w:r>
      <w:r w:rsidR="00600D3C">
        <w:rPr>
          <w:rFonts w:ascii="Arial" w:hAnsi="Arial" w:cs="Arial"/>
          <w:b/>
          <w:sz w:val="40"/>
          <w:szCs w:val="40"/>
        </w:rPr>
        <w:t>201</w:t>
      </w:r>
      <w:r w:rsidR="000941D6">
        <w:rPr>
          <w:rFonts w:ascii="Arial" w:hAnsi="Arial" w:cs="Arial"/>
          <w:b/>
          <w:sz w:val="40"/>
          <w:szCs w:val="40"/>
        </w:rPr>
        <w:t>7</w:t>
      </w:r>
    </w:p>
    <w:p w14:paraId="6CBCC856" w14:textId="77777777" w:rsidR="00FE1DA5" w:rsidRDefault="00FE1DA5" w:rsidP="006D0F12">
      <w:pPr>
        <w:spacing w:after="0" w:line="240" w:lineRule="auto"/>
        <w:jc w:val="center"/>
        <w:rPr>
          <w:rFonts w:ascii="Arial" w:hAnsi="Arial" w:cs="Arial"/>
          <w:b/>
          <w:sz w:val="40"/>
          <w:szCs w:val="40"/>
        </w:rPr>
      </w:pPr>
    </w:p>
    <w:p w14:paraId="215E7C29" w14:textId="77777777" w:rsidR="00FE1DA5" w:rsidRPr="00600D3C" w:rsidRDefault="00600D3C" w:rsidP="00FE1DA5">
      <w:pPr>
        <w:spacing w:after="0" w:line="240" w:lineRule="auto"/>
        <w:jc w:val="center"/>
        <w:rPr>
          <w:rFonts w:ascii="Arial" w:hAnsi="Arial" w:cs="Arial"/>
          <w:b/>
          <w:color w:val="FF0000"/>
          <w:sz w:val="28"/>
          <w:szCs w:val="28"/>
        </w:rPr>
      </w:pPr>
      <w:r w:rsidRPr="00600D3C">
        <w:rPr>
          <w:rFonts w:ascii="Arial" w:hAnsi="Arial" w:cs="Arial"/>
          <w:b/>
          <w:color w:val="FF0000"/>
          <w:sz w:val="28"/>
          <w:szCs w:val="28"/>
        </w:rPr>
        <w:t xml:space="preserve">THIS IS </w:t>
      </w:r>
      <w:r>
        <w:rPr>
          <w:rFonts w:ascii="Arial" w:hAnsi="Arial" w:cs="Arial"/>
          <w:b/>
          <w:color w:val="FF0000"/>
          <w:sz w:val="28"/>
          <w:szCs w:val="28"/>
        </w:rPr>
        <w:t xml:space="preserve">ONLY </w:t>
      </w:r>
      <w:r w:rsidRPr="00600D3C">
        <w:rPr>
          <w:rFonts w:ascii="Arial" w:hAnsi="Arial" w:cs="Arial"/>
          <w:b/>
          <w:color w:val="FF0000"/>
          <w:sz w:val="28"/>
          <w:szCs w:val="28"/>
        </w:rPr>
        <w:t xml:space="preserve">AN </w:t>
      </w:r>
      <w:r w:rsidR="00FE1DA5" w:rsidRPr="00600D3C">
        <w:rPr>
          <w:rFonts w:ascii="Arial" w:hAnsi="Arial" w:cs="Arial"/>
          <w:b/>
          <w:color w:val="FF0000"/>
          <w:sz w:val="28"/>
          <w:szCs w:val="28"/>
        </w:rPr>
        <w:t xml:space="preserve">EXAMPLE </w:t>
      </w:r>
      <w:r>
        <w:rPr>
          <w:rFonts w:ascii="Arial" w:hAnsi="Arial" w:cs="Arial"/>
          <w:b/>
          <w:color w:val="FF0000"/>
          <w:sz w:val="28"/>
          <w:szCs w:val="28"/>
        </w:rPr>
        <w:t>OF A GENERAL ANNEXURE DOCUMENT</w:t>
      </w:r>
    </w:p>
    <w:p w14:paraId="40CE008B" w14:textId="77777777" w:rsidR="00225E27" w:rsidRDefault="00225E27" w:rsidP="00FE1DA5">
      <w:pPr>
        <w:spacing w:after="0" w:line="240" w:lineRule="auto"/>
        <w:jc w:val="center"/>
        <w:rPr>
          <w:rFonts w:ascii="Arial" w:hAnsi="Arial" w:cs="Arial"/>
          <w:b/>
          <w:caps/>
          <w:color w:val="FF0000"/>
          <w:sz w:val="28"/>
          <w:szCs w:val="28"/>
        </w:rPr>
      </w:pPr>
      <w:r>
        <w:rPr>
          <w:rFonts w:ascii="Arial" w:hAnsi="Arial" w:cs="Arial"/>
          <w:b/>
          <w:color w:val="FF0000"/>
          <w:sz w:val="28"/>
          <w:szCs w:val="28"/>
        </w:rPr>
        <w:t xml:space="preserve">DO NOT ATTACH THIS DOCUMENT IN ITS CURRENT </w:t>
      </w:r>
      <w:r w:rsidRPr="00225E27">
        <w:rPr>
          <w:rFonts w:ascii="Arial" w:hAnsi="Arial" w:cs="Arial"/>
          <w:b/>
          <w:caps/>
          <w:color w:val="FF0000"/>
          <w:sz w:val="28"/>
          <w:szCs w:val="28"/>
        </w:rPr>
        <w:t>FORM</w:t>
      </w:r>
    </w:p>
    <w:p w14:paraId="39F7B18F" w14:textId="77777777" w:rsidR="00225E27" w:rsidRDefault="00225E27" w:rsidP="00FE1DA5">
      <w:pPr>
        <w:spacing w:after="0" w:line="240" w:lineRule="auto"/>
        <w:jc w:val="center"/>
        <w:rPr>
          <w:rFonts w:ascii="Arial" w:hAnsi="Arial" w:cs="Arial"/>
          <w:b/>
          <w:caps/>
          <w:color w:val="FF0000"/>
          <w:sz w:val="28"/>
          <w:szCs w:val="28"/>
        </w:rPr>
      </w:pPr>
    </w:p>
    <w:p w14:paraId="6E63855A" w14:textId="77777777" w:rsidR="00600D3C" w:rsidRPr="00600D3C" w:rsidRDefault="00600D3C" w:rsidP="00FE1DA5">
      <w:pPr>
        <w:spacing w:after="0" w:line="240" w:lineRule="auto"/>
        <w:jc w:val="center"/>
        <w:rPr>
          <w:rFonts w:ascii="Arial" w:hAnsi="Arial" w:cs="Arial"/>
          <w:b/>
          <w:color w:val="FF0000"/>
          <w:sz w:val="28"/>
          <w:szCs w:val="28"/>
        </w:rPr>
      </w:pPr>
      <w:r w:rsidRPr="00225E27">
        <w:rPr>
          <w:rFonts w:ascii="Arial" w:hAnsi="Arial" w:cs="Arial"/>
          <w:b/>
          <w:caps/>
          <w:color w:val="FF0000"/>
          <w:sz w:val="28"/>
          <w:szCs w:val="28"/>
        </w:rPr>
        <w:t>AMEND</w:t>
      </w:r>
      <w:r>
        <w:rPr>
          <w:rFonts w:ascii="Arial" w:hAnsi="Arial" w:cs="Arial"/>
          <w:b/>
          <w:color w:val="FF0000"/>
          <w:sz w:val="28"/>
          <w:szCs w:val="28"/>
        </w:rPr>
        <w:t xml:space="preserve"> THIS DOCUMENT TO YOUR SPECIFIC </w:t>
      </w:r>
      <w:r w:rsidRPr="00600D3C">
        <w:rPr>
          <w:rFonts w:ascii="Arial" w:hAnsi="Arial" w:cs="Arial"/>
          <w:b/>
          <w:color w:val="FF0000"/>
          <w:sz w:val="28"/>
          <w:szCs w:val="28"/>
        </w:rPr>
        <w:t>CIRCUMSTANCES AND DELETE THIS MESSAGE</w:t>
      </w:r>
    </w:p>
    <w:p w14:paraId="3D7269DA" w14:textId="77777777" w:rsidR="006D0F12" w:rsidRPr="006D0F12" w:rsidRDefault="006D0F12" w:rsidP="00FE1DA5">
      <w:pPr>
        <w:spacing w:after="0" w:line="240" w:lineRule="auto"/>
        <w:rPr>
          <w:rFonts w:ascii="Arial" w:hAnsi="Arial" w:cs="Arial"/>
          <w:b/>
          <w:sz w:val="40"/>
          <w:szCs w:val="40"/>
        </w:rPr>
      </w:pPr>
    </w:p>
    <w:p w14:paraId="69539F78" w14:textId="77777777" w:rsidR="00FD6814" w:rsidRPr="006D0F12" w:rsidRDefault="001919C0" w:rsidP="006D0F12">
      <w:pPr>
        <w:jc w:val="center"/>
        <w:rPr>
          <w:rFonts w:ascii="Arial" w:hAnsi="Arial" w:cs="Arial"/>
          <w:b/>
          <w:sz w:val="28"/>
          <w:szCs w:val="28"/>
        </w:rPr>
      </w:pPr>
      <w:r>
        <w:rPr>
          <w:rFonts w:ascii="Arial" w:hAnsi="Arial" w:cs="Arial"/>
          <w:b/>
          <w:sz w:val="28"/>
          <w:szCs w:val="28"/>
        </w:rPr>
        <w:t>General Annexure</w:t>
      </w:r>
    </w:p>
    <w:tbl>
      <w:tblPr>
        <w:tblStyle w:val="TableGrid"/>
        <w:tblW w:w="10632" w:type="dxa"/>
        <w:tblInd w:w="-459" w:type="dxa"/>
        <w:tblLook w:val="04A0" w:firstRow="1" w:lastRow="0" w:firstColumn="1" w:lastColumn="0" w:noHBand="0" w:noVBand="1"/>
      </w:tblPr>
      <w:tblGrid>
        <w:gridCol w:w="1276"/>
        <w:gridCol w:w="9356"/>
      </w:tblGrid>
      <w:tr w:rsidR="00FD6814" w14:paraId="02096931" w14:textId="77777777" w:rsidTr="001919C0">
        <w:trPr>
          <w:trHeight w:val="587"/>
        </w:trPr>
        <w:tc>
          <w:tcPr>
            <w:tcW w:w="1276" w:type="dxa"/>
            <w:shd w:val="clear" w:color="auto" w:fill="D9D9D9" w:themeFill="background1" w:themeFillShade="D9"/>
            <w:vAlign w:val="center"/>
          </w:tcPr>
          <w:p w14:paraId="48199F2D" w14:textId="77777777" w:rsidR="00FD6814" w:rsidRPr="006D0F12" w:rsidRDefault="00FD6814" w:rsidP="001919C0">
            <w:pPr>
              <w:jc w:val="center"/>
              <w:rPr>
                <w:rFonts w:ascii="Arial" w:hAnsi="Arial" w:cs="Arial"/>
                <w:b/>
                <w:sz w:val="24"/>
                <w:szCs w:val="24"/>
              </w:rPr>
            </w:pPr>
            <w:r w:rsidRPr="006D0F12">
              <w:rPr>
                <w:rFonts w:ascii="Arial" w:hAnsi="Arial" w:cs="Arial"/>
                <w:b/>
                <w:sz w:val="24"/>
                <w:szCs w:val="24"/>
              </w:rPr>
              <w:t xml:space="preserve">Question </w:t>
            </w:r>
            <w:r w:rsidR="00FE1DA5">
              <w:rPr>
                <w:rFonts w:ascii="Arial" w:hAnsi="Arial" w:cs="Arial"/>
                <w:b/>
                <w:sz w:val="24"/>
                <w:szCs w:val="24"/>
              </w:rPr>
              <w:br/>
            </w:r>
            <w:r w:rsidRPr="006D0F12">
              <w:rPr>
                <w:rFonts w:ascii="Arial" w:hAnsi="Arial" w:cs="Arial"/>
                <w:b/>
                <w:sz w:val="24"/>
                <w:szCs w:val="24"/>
              </w:rPr>
              <w:t>Number</w:t>
            </w:r>
          </w:p>
        </w:tc>
        <w:tc>
          <w:tcPr>
            <w:tcW w:w="9356" w:type="dxa"/>
            <w:shd w:val="clear" w:color="auto" w:fill="D9D9D9" w:themeFill="background1" w:themeFillShade="D9"/>
            <w:vAlign w:val="center"/>
          </w:tcPr>
          <w:p w14:paraId="19FC605C" w14:textId="77777777" w:rsidR="00FD6814" w:rsidRPr="006D0F12" w:rsidRDefault="006D0F12" w:rsidP="001919C0">
            <w:pPr>
              <w:jc w:val="center"/>
              <w:rPr>
                <w:rFonts w:ascii="Arial" w:hAnsi="Arial" w:cs="Arial"/>
                <w:b/>
                <w:sz w:val="24"/>
                <w:szCs w:val="24"/>
              </w:rPr>
            </w:pPr>
            <w:r w:rsidRPr="006D0F12">
              <w:rPr>
                <w:rFonts w:ascii="Arial" w:hAnsi="Arial" w:cs="Arial"/>
                <w:b/>
                <w:sz w:val="24"/>
                <w:szCs w:val="24"/>
              </w:rPr>
              <w:t>Comment</w:t>
            </w:r>
            <w:r w:rsidR="00FE1DA5">
              <w:rPr>
                <w:rFonts w:ascii="Arial" w:hAnsi="Arial" w:cs="Arial"/>
                <w:b/>
                <w:sz w:val="24"/>
                <w:szCs w:val="24"/>
              </w:rPr>
              <w:t>s</w:t>
            </w:r>
          </w:p>
        </w:tc>
      </w:tr>
      <w:tr w:rsidR="008B303F" w14:paraId="2765345A" w14:textId="77777777" w:rsidTr="00F80E61">
        <w:trPr>
          <w:trHeight w:val="930"/>
        </w:trPr>
        <w:tc>
          <w:tcPr>
            <w:tcW w:w="1276" w:type="dxa"/>
          </w:tcPr>
          <w:p w14:paraId="3E152004" w14:textId="77777777" w:rsidR="008B303F" w:rsidRPr="0010209D" w:rsidRDefault="008B303F" w:rsidP="00B115F7">
            <w:pPr>
              <w:rPr>
                <w:b/>
              </w:rPr>
            </w:pPr>
            <w:r>
              <w:rPr>
                <w:b/>
              </w:rPr>
              <w:t>1.1</w:t>
            </w:r>
          </w:p>
        </w:tc>
        <w:tc>
          <w:tcPr>
            <w:tcW w:w="9356" w:type="dxa"/>
          </w:tcPr>
          <w:p w14:paraId="4B7A2188" w14:textId="661A85BE" w:rsidR="008B303F" w:rsidRPr="008445B6" w:rsidRDefault="00FC43C8" w:rsidP="00B307EF">
            <w:pPr>
              <w:jc w:val="both"/>
              <w:rPr>
                <w:highlight w:val="yellow"/>
              </w:rPr>
            </w:pPr>
            <w:r>
              <w:t>The FSP has</w:t>
            </w:r>
            <w:r w:rsidR="000A4E8F" w:rsidRPr="00574C9D">
              <w:t xml:space="preserve"> a procedure in place to ensure that it can comply with condition 1 of the </w:t>
            </w:r>
            <w:r w:rsidRPr="00574C9D">
              <w:t>licensing</w:t>
            </w:r>
            <w:r w:rsidR="000A4E8F" w:rsidRPr="00574C9D">
              <w:t xml:space="preserve"> conditions.</w:t>
            </w:r>
            <w:r w:rsidR="00574C9D" w:rsidRPr="00574C9D">
              <w:t xml:space="preserve"> </w:t>
            </w:r>
            <w:r w:rsidR="000A4E8F" w:rsidRPr="00574C9D">
              <w:t>T</w:t>
            </w:r>
            <w:r w:rsidR="008B303F" w:rsidRPr="00574C9D">
              <w:t>he FSP is a client of</w:t>
            </w:r>
            <w:r>
              <w:t xml:space="preserve"> the</w:t>
            </w:r>
            <w:r w:rsidR="008B303F" w:rsidRPr="00574C9D">
              <w:t xml:space="preserve"> Moonstone</w:t>
            </w:r>
            <w:r>
              <w:t xml:space="preserve"> Compliance Protector Service</w:t>
            </w:r>
            <w:r w:rsidR="00DE41CE">
              <w:t xml:space="preserve"> which </w:t>
            </w:r>
            <w:r w:rsidR="008B303F" w:rsidRPr="00574C9D">
              <w:t xml:space="preserve">sends out </w:t>
            </w:r>
            <w:r w:rsidR="00DE41CE">
              <w:t>an email</w:t>
            </w:r>
            <w:r w:rsidR="00DE41CE" w:rsidRPr="00574C9D">
              <w:t xml:space="preserve"> notification </w:t>
            </w:r>
            <w:r w:rsidR="00DE41CE">
              <w:t>twice a month to</w:t>
            </w:r>
            <w:r w:rsidR="008B303F" w:rsidRPr="00574C9D">
              <w:t xml:space="preserve"> remind the Key Individual to notify the </w:t>
            </w:r>
            <w:r w:rsidR="00DE41CE">
              <w:t>Registrar</w:t>
            </w:r>
            <w:r w:rsidR="008B303F" w:rsidRPr="00574C9D">
              <w:t xml:space="preserve"> of any changes to </w:t>
            </w:r>
            <w:r w:rsidR="009525A4" w:rsidRPr="00574C9D">
              <w:t xml:space="preserve">its </w:t>
            </w:r>
            <w:r w:rsidR="008B303F" w:rsidRPr="00574C9D">
              <w:t>business details.</w:t>
            </w:r>
            <w:r w:rsidR="000A4E8F" w:rsidRPr="00574C9D">
              <w:t xml:space="preserve"> </w:t>
            </w:r>
          </w:p>
        </w:tc>
      </w:tr>
      <w:tr w:rsidR="006D0F12" w14:paraId="3238FE92" w14:textId="77777777" w:rsidTr="00FE1DA5">
        <w:tc>
          <w:tcPr>
            <w:tcW w:w="1276" w:type="dxa"/>
          </w:tcPr>
          <w:p w14:paraId="70962148" w14:textId="77777777" w:rsidR="006D0F12" w:rsidRPr="0010209D" w:rsidRDefault="00E977BC" w:rsidP="00B115F7">
            <w:pPr>
              <w:rPr>
                <w:b/>
              </w:rPr>
            </w:pPr>
            <w:r>
              <w:rPr>
                <w:b/>
              </w:rPr>
              <w:t>1.4</w:t>
            </w:r>
          </w:p>
        </w:tc>
        <w:tc>
          <w:tcPr>
            <w:tcW w:w="9356" w:type="dxa"/>
          </w:tcPr>
          <w:p w14:paraId="4A87B706" w14:textId="77777777" w:rsidR="006D0F12" w:rsidRPr="00574C9D" w:rsidRDefault="008B303F" w:rsidP="00B307EF">
            <w:pPr>
              <w:jc w:val="both"/>
              <w:rPr>
                <w:szCs w:val="24"/>
                <w:lang w:eastAsia="en-GB"/>
              </w:rPr>
            </w:pPr>
            <w:r w:rsidRPr="00574C9D">
              <w:t>The FSP is a company regulated by the C</w:t>
            </w:r>
            <w:r w:rsidR="0093158A" w:rsidRPr="00574C9D">
              <w:t xml:space="preserve">ompanies and </w:t>
            </w:r>
            <w:r w:rsidRPr="00574C9D">
              <w:t>I</w:t>
            </w:r>
            <w:r w:rsidR="0093158A" w:rsidRPr="00574C9D">
              <w:t>ntellectual Property Commission.</w:t>
            </w:r>
            <w:r w:rsidRPr="00574C9D">
              <w:t xml:space="preserve"> </w:t>
            </w:r>
            <w:r w:rsidR="006D0F12" w:rsidRPr="00574C9D">
              <w:t>Registration</w:t>
            </w:r>
            <w:r w:rsidR="0093158A" w:rsidRPr="00574C9D">
              <w:t xml:space="preserve"> number</w:t>
            </w:r>
            <w:r w:rsidR="006D0F12" w:rsidRPr="00574C9D">
              <w:t xml:space="preserve"> XXXX/XXXX/XXX</w:t>
            </w:r>
          </w:p>
          <w:p w14:paraId="5385425C" w14:textId="77777777" w:rsidR="006D0F12" w:rsidRPr="00574C9D" w:rsidRDefault="008B303F" w:rsidP="00B307EF">
            <w:pPr>
              <w:jc w:val="both"/>
              <w:rPr>
                <w:szCs w:val="24"/>
                <w:lang w:eastAsia="en-GB"/>
              </w:rPr>
            </w:pPr>
            <w:r w:rsidRPr="00574C9D">
              <w:rPr>
                <w:szCs w:val="24"/>
                <w:lang w:eastAsia="en-GB"/>
              </w:rPr>
              <w:t>The FSP is r</w:t>
            </w:r>
            <w:r w:rsidR="006D0F12" w:rsidRPr="00574C9D">
              <w:rPr>
                <w:szCs w:val="24"/>
                <w:lang w:eastAsia="en-GB"/>
              </w:rPr>
              <w:t>egistered for Tax</w:t>
            </w:r>
            <w:r w:rsidRPr="00574C9D">
              <w:rPr>
                <w:szCs w:val="24"/>
                <w:lang w:eastAsia="en-GB"/>
              </w:rPr>
              <w:t xml:space="preserve"> with S</w:t>
            </w:r>
            <w:r w:rsidR="0093158A" w:rsidRPr="00574C9D">
              <w:rPr>
                <w:szCs w:val="24"/>
                <w:lang w:eastAsia="en-GB"/>
              </w:rPr>
              <w:t>outh African Revenue Service</w:t>
            </w:r>
          </w:p>
          <w:p w14:paraId="3A4FB3D1" w14:textId="77777777" w:rsidR="0093158A" w:rsidRPr="00574C9D" w:rsidRDefault="0093158A" w:rsidP="00B307EF">
            <w:pPr>
              <w:jc w:val="both"/>
              <w:rPr>
                <w:szCs w:val="24"/>
                <w:lang w:eastAsia="en-GB"/>
              </w:rPr>
            </w:pPr>
            <w:r w:rsidRPr="00574C9D">
              <w:rPr>
                <w:szCs w:val="24"/>
                <w:lang w:eastAsia="en-GB"/>
              </w:rPr>
              <w:t xml:space="preserve">The FSP is registered </w:t>
            </w:r>
            <w:r w:rsidR="009525A4" w:rsidRPr="00574C9D">
              <w:rPr>
                <w:szCs w:val="24"/>
                <w:lang w:eastAsia="en-GB"/>
              </w:rPr>
              <w:t xml:space="preserve">as an Accountable Institution </w:t>
            </w:r>
            <w:r w:rsidRPr="00574C9D">
              <w:rPr>
                <w:szCs w:val="24"/>
                <w:lang w:eastAsia="en-GB"/>
              </w:rPr>
              <w:t>with the Financial Intelligence Centre</w:t>
            </w:r>
          </w:p>
          <w:p w14:paraId="1EB21E16" w14:textId="77777777" w:rsidR="0093158A" w:rsidRPr="008445B6" w:rsidRDefault="009525A4" w:rsidP="00B307EF">
            <w:pPr>
              <w:jc w:val="both"/>
              <w:rPr>
                <w:szCs w:val="24"/>
                <w:highlight w:val="yellow"/>
                <w:lang w:eastAsia="en-GB"/>
              </w:rPr>
            </w:pPr>
            <w:r w:rsidRPr="00574C9D">
              <w:rPr>
                <w:szCs w:val="24"/>
                <w:lang w:eastAsia="en-GB"/>
              </w:rPr>
              <w:t xml:space="preserve">The FSP is accredited </w:t>
            </w:r>
            <w:r w:rsidR="0093158A" w:rsidRPr="00574C9D">
              <w:rPr>
                <w:szCs w:val="24"/>
                <w:lang w:eastAsia="en-GB"/>
              </w:rPr>
              <w:t>with the Council of Medical Schemes</w:t>
            </w:r>
          </w:p>
        </w:tc>
      </w:tr>
      <w:tr w:rsidR="0093158A" w14:paraId="57546ADF" w14:textId="77777777" w:rsidTr="00FE1DA5">
        <w:tc>
          <w:tcPr>
            <w:tcW w:w="1276" w:type="dxa"/>
          </w:tcPr>
          <w:p w14:paraId="4F8AF2F1" w14:textId="77777777" w:rsidR="0093158A" w:rsidRPr="0010209D" w:rsidRDefault="00E977BC" w:rsidP="00B115F7">
            <w:pPr>
              <w:rPr>
                <w:b/>
              </w:rPr>
            </w:pPr>
            <w:r>
              <w:rPr>
                <w:b/>
              </w:rPr>
              <w:t>1.5.1.1</w:t>
            </w:r>
          </w:p>
        </w:tc>
        <w:tc>
          <w:tcPr>
            <w:tcW w:w="9356" w:type="dxa"/>
          </w:tcPr>
          <w:p w14:paraId="2096E178" w14:textId="351D75A2" w:rsidR="0093158A" w:rsidRPr="00574C9D" w:rsidRDefault="00574C9D" w:rsidP="00B307EF">
            <w:pPr>
              <w:jc w:val="both"/>
            </w:pPr>
            <w:r w:rsidRPr="00574C9D">
              <w:t xml:space="preserve">The FSP </w:t>
            </w:r>
            <w:r w:rsidR="00DE41CE">
              <w:t xml:space="preserve">renders and </w:t>
            </w:r>
            <w:r w:rsidRPr="00574C9D">
              <w:t xml:space="preserve">investment service </w:t>
            </w:r>
            <w:r w:rsidR="00DE41CE">
              <w:t>on</w:t>
            </w:r>
            <w:r w:rsidRPr="00574C9D">
              <w:t xml:space="preserve"> the following products that are not defined as a “financial product” in terms of the FAIS Act: </w:t>
            </w:r>
            <w:r w:rsidR="0093158A" w:rsidRPr="00574C9D">
              <w:t>Bond Originating and Bridging Finance</w:t>
            </w:r>
          </w:p>
        </w:tc>
      </w:tr>
      <w:tr w:rsidR="00B36572" w14:paraId="355264B5" w14:textId="77777777" w:rsidTr="00FE1DA5">
        <w:tc>
          <w:tcPr>
            <w:tcW w:w="1276" w:type="dxa"/>
          </w:tcPr>
          <w:p w14:paraId="5C94C247" w14:textId="77777777" w:rsidR="00B36572" w:rsidRDefault="00B36572" w:rsidP="00B115F7">
            <w:pPr>
              <w:rPr>
                <w:b/>
              </w:rPr>
            </w:pPr>
            <w:r>
              <w:rPr>
                <w:b/>
              </w:rPr>
              <w:t>1.6.3</w:t>
            </w:r>
          </w:p>
        </w:tc>
        <w:tc>
          <w:tcPr>
            <w:tcW w:w="9356" w:type="dxa"/>
          </w:tcPr>
          <w:p w14:paraId="51EE12C1" w14:textId="17B4DDE6" w:rsidR="00B36572" w:rsidRPr="008445B6" w:rsidRDefault="00B36572" w:rsidP="00B307EF">
            <w:pPr>
              <w:jc w:val="both"/>
              <w:rPr>
                <w:highlight w:val="yellow"/>
              </w:rPr>
            </w:pPr>
            <w:r w:rsidRPr="00AD055D">
              <w:t>Yes</w:t>
            </w:r>
            <w:r w:rsidR="00DE41CE">
              <w:t>, the irregularity was reported to the Regulator</w:t>
            </w:r>
          </w:p>
        </w:tc>
      </w:tr>
      <w:tr w:rsidR="006D0F12" w14:paraId="16EE3389" w14:textId="77777777" w:rsidTr="00FE1DA5">
        <w:tc>
          <w:tcPr>
            <w:tcW w:w="1276" w:type="dxa"/>
          </w:tcPr>
          <w:p w14:paraId="34EE517D" w14:textId="77777777" w:rsidR="006D0F12" w:rsidRPr="00AD055D" w:rsidRDefault="00B36572" w:rsidP="00B115F7">
            <w:pPr>
              <w:rPr>
                <w:b/>
              </w:rPr>
            </w:pPr>
            <w:r w:rsidRPr="00AD055D">
              <w:rPr>
                <w:b/>
              </w:rPr>
              <w:t>1.6.4</w:t>
            </w:r>
          </w:p>
        </w:tc>
        <w:tc>
          <w:tcPr>
            <w:tcW w:w="9356" w:type="dxa"/>
          </w:tcPr>
          <w:p w14:paraId="35B90B2B" w14:textId="09ADC1C3" w:rsidR="006D0F12" w:rsidRPr="00AD055D" w:rsidRDefault="0093158A" w:rsidP="00B307EF">
            <w:pPr>
              <w:jc w:val="both"/>
            </w:pPr>
            <w:r w:rsidRPr="00AD055D">
              <w:t xml:space="preserve">Yes, </w:t>
            </w:r>
            <w:r w:rsidR="00DE41CE">
              <w:t>“</w:t>
            </w:r>
            <w:r w:rsidRPr="00AD055D">
              <w:t>advice</w:t>
            </w:r>
            <w:r w:rsidR="00DE41CE">
              <w:t>”</w:t>
            </w:r>
            <w:r w:rsidRPr="00AD055D">
              <w:t xml:space="preserve"> was provided on a Funeral pol</w:t>
            </w:r>
            <w:r w:rsidR="009525A4" w:rsidRPr="00AD055D">
              <w:t xml:space="preserve">icy </w:t>
            </w:r>
            <w:r w:rsidR="00DE41CE">
              <w:t>whilst</w:t>
            </w:r>
            <w:r w:rsidR="00AD055D" w:rsidRPr="00AD055D">
              <w:t xml:space="preserve"> the FSP was</w:t>
            </w:r>
            <w:r w:rsidR="009525A4" w:rsidRPr="00AD055D">
              <w:t xml:space="preserve"> only </w:t>
            </w:r>
            <w:proofErr w:type="spellStart"/>
            <w:r w:rsidR="009525A4" w:rsidRPr="00AD055D">
              <w:t>authoris</w:t>
            </w:r>
            <w:r w:rsidRPr="00AD055D">
              <w:t>ed</w:t>
            </w:r>
            <w:proofErr w:type="spellEnd"/>
            <w:r w:rsidRPr="00AD055D">
              <w:t xml:space="preserve"> for </w:t>
            </w:r>
            <w:r w:rsidR="00DE41CE">
              <w:t>“</w:t>
            </w:r>
            <w:r w:rsidRPr="00AD055D">
              <w:t>intermediary ser</w:t>
            </w:r>
            <w:r w:rsidR="00AD055D" w:rsidRPr="00AD055D">
              <w:t>vices</w:t>
            </w:r>
            <w:r w:rsidR="00DE41CE">
              <w:t>”</w:t>
            </w:r>
            <w:r w:rsidR="00AD055D" w:rsidRPr="00AD055D">
              <w:t xml:space="preserve"> </w:t>
            </w:r>
            <w:r w:rsidR="00DE41CE">
              <w:t xml:space="preserve">on </w:t>
            </w:r>
            <w:r w:rsidR="00AD055D" w:rsidRPr="00AD055D">
              <w:t>Long-</w:t>
            </w:r>
            <w:r w:rsidRPr="00AD055D">
              <w:t xml:space="preserve">term </w:t>
            </w:r>
            <w:r w:rsidR="00AD055D" w:rsidRPr="00AD055D">
              <w:t>Insurance Subcategory</w:t>
            </w:r>
            <w:r w:rsidRPr="00AD055D">
              <w:t xml:space="preserve"> A. The </w:t>
            </w:r>
            <w:proofErr w:type="spellStart"/>
            <w:r w:rsidRPr="00AD055D">
              <w:t>licence</w:t>
            </w:r>
            <w:proofErr w:type="spellEnd"/>
            <w:r w:rsidRPr="00AD055D">
              <w:t xml:space="preserve"> has subsequently been updated to include </w:t>
            </w:r>
            <w:r w:rsidR="00DE41CE">
              <w:t>“</w:t>
            </w:r>
            <w:r w:rsidRPr="00AD055D">
              <w:t>advice</w:t>
            </w:r>
            <w:r w:rsidR="00DE41CE">
              <w:t>”</w:t>
            </w:r>
            <w:r w:rsidRPr="00AD055D">
              <w:t xml:space="preserve"> on</w:t>
            </w:r>
            <w:r w:rsidR="00AD055D" w:rsidRPr="00AD055D">
              <w:t xml:space="preserve"> Long-term Insurance</w:t>
            </w:r>
            <w:r w:rsidRPr="00AD055D">
              <w:t xml:space="preserve"> </w:t>
            </w:r>
            <w:r w:rsidR="00AD055D" w:rsidRPr="00AD055D">
              <w:t>Subca</w:t>
            </w:r>
            <w:r w:rsidRPr="00AD055D">
              <w:t>tegory A.</w:t>
            </w:r>
          </w:p>
        </w:tc>
      </w:tr>
      <w:tr w:rsidR="009D3C89" w14:paraId="690B01DB" w14:textId="77777777" w:rsidTr="00FE1DA5">
        <w:tc>
          <w:tcPr>
            <w:tcW w:w="1276" w:type="dxa"/>
          </w:tcPr>
          <w:p w14:paraId="4B3BCA1D" w14:textId="77777777" w:rsidR="009D3C89" w:rsidRPr="00884B3F" w:rsidRDefault="009D3C89" w:rsidP="00B115F7">
            <w:pPr>
              <w:rPr>
                <w:b/>
              </w:rPr>
            </w:pPr>
            <w:r w:rsidRPr="00884B3F">
              <w:rPr>
                <w:b/>
              </w:rPr>
              <w:t xml:space="preserve">2.1 </w:t>
            </w:r>
          </w:p>
        </w:tc>
        <w:tc>
          <w:tcPr>
            <w:tcW w:w="9356" w:type="dxa"/>
          </w:tcPr>
          <w:p w14:paraId="4FC58EFB" w14:textId="77777777" w:rsidR="009D3C89" w:rsidRPr="00884B3F" w:rsidRDefault="009D3C89" w:rsidP="00B307EF">
            <w:pPr>
              <w:jc w:val="both"/>
            </w:pPr>
            <w:r w:rsidRPr="00884B3F">
              <w:t xml:space="preserve">Yes the FSP is part of a group of companies. The FSP is a subsidiary of </w:t>
            </w:r>
            <w:proofErr w:type="spellStart"/>
            <w:r w:rsidRPr="00884B3F">
              <w:t>MaxWealth</w:t>
            </w:r>
            <w:proofErr w:type="spellEnd"/>
            <w:r w:rsidRPr="00884B3F">
              <w:t xml:space="preserve"> holdings. </w:t>
            </w:r>
            <w:proofErr w:type="spellStart"/>
            <w:r w:rsidRPr="00884B3F">
              <w:t>Maxwealth</w:t>
            </w:r>
            <w:proofErr w:type="spellEnd"/>
            <w:r w:rsidRPr="00884B3F">
              <w:t xml:space="preserve"> has a 60% shareholding in the FSP. </w:t>
            </w:r>
          </w:p>
        </w:tc>
      </w:tr>
      <w:tr w:rsidR="009D3C89" w14:paraId="1E187E82" w14:textId="77777777" w:rsidTr="00FE1DA5">
        <w:tc>
          <w:tcPr>
            <w:tcW w:w="1276" w:type="dxa"/>
          </w:tcPr>
          <w:p w14:paraId="6653241E" w14:textId="77777777" w:rsidR="009D3C89" w:rsidRDefault="009D3C89" w:rsidP="00B115F7">
            <w:pPr>
              <w:rPr>
                <w:b/>
              </w:rPr>
            </w:pPr>
            <w:r>
              <w:rPr>
                <w:b/>
              </w:rPr>
              <w:t>3.2</w:t>
            </w:r>
          </w:p>
        </w:tc>
        <w:tc>
          <w:tcPr>
            <w:tcW w:w="9356" w:type="dxa"/>
          </w:tcPr>
          <w:p w14:paraId="1E9D92E1" w14:textId="77777777" w:rsidR="009D3C89" w:rsidRPr="00574C9D" w:rsidRDefault="009D3C89" w:rsidP="00B307EF">
            <w:pPr>
              <w:jc w:val="both"/>
              <w:rPr>
                <w:highlight w:val="yellow"/>
              </w:rPr>
            </w:pPr>
            <w:r w:rsidRPr="00C2277E">
              <w:t>The Key Individual’s private estate was sequestrated. However, the FSP is a company and satisfies the financial soundn</w:t>
            </w:r>
            <w:r w:rsidR="00303BF4">
              <w:t xml:space="preserve">ess requirement i.e. the FSP’s assets exceeds its liabilities and is not under liquidation or </w:t>
            </w:r>
            <w:r w:rsidRPr="00C2277E">
              <w:t>provisional liquidation.</w:t>
            </w:r>
          </w:p>
        </w:tc>
      </w:tr>
      <w:tr w:rsidR="009D3C89" w14:paraId="518656D1" w14:textId="77777777" w:rsidTr="00FE1DA5">
        <w:tc>
          <w:tcPr>
            <w:tcW w:w="1276" w:type="dxa"/>
          </w:tcPr>
          <w:p w14:paraId="2CBA009E" w14:textId="77777777" w:rsidR="009D3C89" w:rsidRDefault="009826B5" w:rsidP="00B115F7">
            <w:pPr>
              <w:rPr>
                <w:b/>
              </w:rPr>
            </w:pPr>
            <w:r>
              <w:rPr>
                <w:b/>
              </w:rPr>
              <w:t>4.2</w:t>
            </w:r>
          </w:p>
        </w:tc>
        <w:tc>
          <w:tcPr>
            <w:tcW w:w="9356" w:type="dxa"/>
          </w:tcPr>
          <w:p w14:paraId="76B67A7F" w14:textId="77777777" w:rsidR="009D3C89" w:rsidRPr="00A268A6" w:rsidRDefault="00A268A6" w:rsidP="00B307EF">
            <w:pPr>
              <w:jc w:val="both"/>
            </w:pPr>
            <w:r w:rsidRPr="00A268A6">
              <w:t xml:space="preserve">The FSP has employed a </w:t>
            </w:r>
            <w:r w:rsidR="009826B5" w:rsidRPr="00A268A6">
              <w:t xml:space="preserve">secretary </w:t>
            </w:r>
            <w:r w:rsidRPr="00A268A6">
              <w:t xml:space="preserve">during the reporting period. The secretary </w:t>
            </w:r>
            <w:r w:rsidR="009826B5" w:rsidRPr="00A268A6">
              <w:t>set</w:t>
            </w:r>
            <w:r w:rsidRPr="00A268A6">
              <w:t>s up appointments with clients and does not render any financial services.</w:t>
            </w:r>
          </w:p>
        </w:tc>
      </w:tr>
      <w:tr w:rsidR="009D3C89" w14:paraId="53133DC5" w14:textId="77777777" w:rsidTr="00FE1DA5">
        <w:tc>
          <w:tcPr>
            <w:tcW w:w="1276" w:type="dxa"/>
          </w:tcPr>
          <w:p w14:paraId="29BD735B" w14:textId="77777777" w:rsidR="009D3C89" w:rsidRDefault="00225E27" w:rsidP="00B115F7">
            <w:pPr>
              <w:rPr>
                <w:b/>
              </w:rPr>
            </w:pPr>
            <w:r>
              <w:rPr>
                <w:b/>
              </w:rPr>
              <w:t>5.3</w:t>
            </w:r>
          </w:p>
        </w:tc>
        <w:tc>
          <w:tcPr>
            <w:tcW w:w="9356" w:type="dxa"/>
          </w:tcPr>
          <w:p w14:paraId="63FF4552" w14:textId="77777777" w:rsidR="009D3C89" w:rsidRPr="00225E27" w:rsidRDefault="00225E27" w:rsidP="00B307EF">
            <w:pPr>
              <w:jc w:val="both"/>
            </w:pPr>
            <w:r w:rsidRPr="00225E27">
              <w:t>Yes. The FSP performs self-assessments on a regular basis</w:t>
            </w:r>
            <w:r w:rsidR="00303BF4">
              <w:t xml:space="preserve"> in order</w:t>
            </w:r>
            <w:r w:rsidRPr="00225E27">
              <w:t xml:space="preserve"> to ensure that the requirements associated with the Operational Ability aspects are complied with by the FSP.</w:t>
            </w:r>
          </w:p>
        </w:tc>
      </w:tr>
      <w:tr w:rsidR="009D3C89" w14:paraId="75BC437B" w14:textId="77777777" w:rsidTr="00FE1DA5">
        <w:tc>
          <w:tcPr>
            <w:tcW w:w="1276" w:type="dxa"/>
          </w:tcPr>
          <w:p w14:paraId="24358662" w14:textId="77777777" w:rsidR="009D3C89" w:rsidRDefault="00486A9F" w:rsidP="00B115F7">
            <w:pPr>
              <w:rPr>
                <w:b/>
              </w:rPr>
            </w:pPr>
            <w:r>
              <w:rPr>
                <w:b/>
              </w:rPr>
              <w:t>10.2.1.1</w:t>
            </w:r>
          </w:p>
        </w:tc>
        <w:tc>
          <w:tcPr>
            <w:tcW w:w="9356" w:type="dxa"/>
          </w:tcPr>
          <w:p w14:paraId="347132F2" w14:textId="3CDBC1FF" w:rsidR="009D3C89" w:rsidRPr="00574C9D" w:rsidRDefault="00486A9F" w:rsidP="00B307EF">
            <w:pPr>
              <w:jc w:val="both"/>
              <w:rPr>
                <w:highlight w:val="yellow"/>
              </w:rPr>
            </w:pPr>
            <w:r w:rsidRPr="00CD3C4E">
              <w:t xml:space="preserve">The FSP has </w:t>
            </w:r>
            <w:r w:rsidR="00CD3C4E" w:rsidRPr="00CD3C4E">
              <w:t>implemented</w:t>
            </w:r>
            <w:r w:rsidR="00FB2AF9" w:rsidRPr="00CD3C4E">
              <w:t xml:space="preserve"> </w:t>
            </w:r>
            <w:r w:rsidR="00CD3C4E" w:rsidRPr="00CD3C4E">
              <w:t xml:space="preserve">a working document </w:t>
            </w:r>
            <w:r w:rsidRPr="00CD3C4E">
              <w:t xml:space="preserve">listing the information that </w:t>
            </w:r>
            <w:r w:rsidR="00CD3C4E" w:rsidRPr="00CD3C4E">
              <w:t xml:space="preserve">must be sourced </w:t>
            </w:r>
            <w:r w:rsidRPr="00CD3C4E">
              <w:t>from the client in order to conduct a suitability analysis</w:t>
            </w:r>
            <w:r w:rsidR="00DD140A" w:rsidRPr="00CD3C4E">
              <w:t>. This will be imple</w:t>
            </w:r>
            <w:r w:rsidR="00CD3C4E" w:rsidRPr="00CD3C4E">
              <w:t>mented prior to 28 February 201</w:t>
            </w:r>
            <w:r w:rsidR="00DB54DB">
              <w:t>8</w:t>
            </w:r>
            <w:r w:rsidR="00DD140A" w:rsidRPr="00CD3C4E">
              <w:t>.</w:t>
            </w:r>
          </w:p>
        </w:tc>
      </w:tr>
      <w:tr w:rsidR="009D3C89" w14:paraId="2F016EAF" w14:textId="77777777" w:rsidTr="00FE1DA5">
        <w:tc>
          <w:tcPr>
            <w:tcW w:w="1276" w:type="dxa"/>
          </w:tcPr>
          <w:p w14:paraId="5275B028" w14:textId="77777777" w:rsidR="009D3C89" w:rsidRDefault="003102B6" w:rsidP="00B115F7">
            <w:pPr>
              <w:rPr>
                <w:b/>
              </w:rPr>
            </w:pPr>
            <w:r>
              <w:rPr>
                <w:b/>
              </w:rPr>
              <w:t>11.2.4</w:t>
            </w:r>
          </w:p>
        </w:tc>
        <w:tc>
          <w:tcPr>
            <w:tcW w:w="9356" w:type="dxa"/>
          </w:tcPr>
          <w:p w14:paraId="07F3CCB8" w14:textId="77777777" w:rsidR="009D3C89" w:rsidRPr="003F08EA" w:rsidRDefault="003102B6" w:rsidP="00B307EF">
            <w:pPr>
              <w:jc w:val="both"/>
            </w:pPr>
            <w:r w:rsidRPr="003F08EA">
              <w:t>Short-term Insurance premiums (Category 1.02 Short-term</w:t>
            </w:r>
            <w:r w:rsidR="003F08EA" w:rsidRPr="003F08EA">
              <w:t xml:space="preserve"> Insurance</w:t>
            </w:r>
            <w:r w:rsidRPr="003F08EA">
              <w:t xml:space="preserve"> Personal Lines)</w:t>
            </w:r>
          </w:p>
        </w:tc>
      </w:tr>
      <w:tr w:rsidR="009D3C89" w14:paraId="57C9E8A8" w14:textId="77777777" w:rsidTr="00FE1DA5">
        <w:tc>
          <w:tcPr>
            <w:tcW w:w="1276" w:type="dxa"/>
          </w:tcPr>
          <w:p w14:paraId="6500001F" w14:textId="77777777" w:rsidR="009D3C89" w:rsidRDefault="00DC5C50" w:rsidP="00B115F7">
            <w:pPr>
              <w:rPr>
                <w:b/>
              </w:rPr>
            </w:pPr>
            <w:r>
              <w:rPr>
                <w:b/>
              </w:rPr>
              <w:t>12.2</w:t>
            </w:r>
          </w:p>
        </w:tc>
        <w:tc>
          <w:tcPr>
            <w:tcW w:w="9356" w:type="dxa"/>
          </w:tcPr>
          <w:p w14:paraId="4C118937" w14:textId="77777777" w:rsidR="009D3C89" w:rsidRPr="00DC5C50" w:rsidRDefault="009A7D87" w:rsidP="00B307EF">
            <w:pPr>
              <w:jc w:val="both"/>
            </w:pPr>
            <w:r w:rsidRPr="00DC5C50">
              <w:t xml:space="preserve">The FSP is a </w:t>
            </w:r>
            <w:r w:rsidR="00303BF4">
              <w:t>client of Moonstone Compliance</w:t>
            </w:r>
            <w:r w:rsidRPr="00DC5C50">
              <w:t xml:space="preserve"> </w:t>
            </w:r>
            <w:r w:rsidR="00303BF4">
              <w:t>Protector Service</w:t>
            </w:r>
            <w:r w:rsidRPr="00DC5C50">
              <w:t xml:space="preserve">. The service prompts the FSP to </w:t>
            </w:r>
            <w:r w:rsidR="00004DAC" w:rsidRPr="00DC5C50">
              <w:t xml:space="preserve">monitor compliance risk areas </w:t>
            </w:r>
            <w:r w:rsidR="008207D1" w:rsidRPr="00DC5C50">
              <w:t>by way of self-assessments on a periodic basis.</w:t>
            </w:r>
            <w:r w:rsidR="00E82720" w:rsidRPr="00DC5C50">
              <w:t xml:space="preserve"> </w:t>
            </w:r>
            <w:r w:rsidRPr="00DC5C50">
              <w:t>A monthly compliance report is generated</w:t>
            </w:r>
            <w:r w:rsidR="00DC5C50" w:rsidRPr="00DC5C50">
              <w:t xml:space="preserve"> with recommendations</w:t>
            </w:r>
            <w:r w:rsidRPr="00DC5C50">
              <w:t xml:space="preserve"> </w:t>
            </w:r>
            <w:r w:rsidR="00303BF4">
              <w:t>in order to</w:t>
            </w:r>
            <w:r w:rsidR="00DC5C50" w:rsidRPr="00DC5C50">
              <w:t xml:space="preserve"> </w:t>
            </w:r>
            <w:r w:rsidR="00E82720" w:rsidRPr="00DC5C50">
              <w:t>rectify any</w:t>
            </w:r>
            <w:r w:rsidRPr="00DC5C50">
              <w:t xml:space="preserve"> issues of non-compliance</w:t>
            </w:r>
            <w:r w:rsidR="00E82720" w:rsidRPr="00DC5C50">
              <w:t>.</w:t>
            </w:r>
          </w:p>
        </w:tc>
      </w:tr>
      <w:tr w:rsidR="000A4FC3" w14:paraId="23D21BD1" w14:textId="77777777" w:rsidTr="00893805">
        <w:trPr>
          <w:cantSplit/>
        </w:trPr>
        <w:tc>
          <w:tcPr>
            <w:tcW w:w="1276" w:type="dxa"/>
          </w:tcPr>
          <w:p w14:paraId="77EF6186" w14:textId="77777777" w:rsidR="000A4FC3" w:rsidRDefault="00F3507B" w:rsidP="00B115F7">
            <w:pPr>
              <w:rPr>
                <w:b/>
              </w:rPr>
            </w:pPr>
            <w:r>
              <w:rPr>
                <w:b/>
              </w:rPr>
              <w:lastRenderedPageBreak/>
              <w:t>14.2.1</w:t>
            </w:r>
          </w:p>
        </w:tc>
        <w:tc>
          <w:tcPr>
            <w:tcW w:w="9356" w:type="dxa"/>
            <w:shd w:val="clear" w:color="auto" w:fill="auto"/>
          </w:tcPr>
          <w:p w14:paraId="357D527B" w14:textId="77777777" w:rsidR="000A4FC3" w:rsidRPr="00574C9D" w:rsidRDefault="00F3507B" w:rsidP="00B307EF">
            <w:pPr>
              <w:jc w:val="both"/>
              <w:rPr>
                <w:highlight w:val="yellow"/>
              </w:rPr>
            </w:pPr>
            <w:r w:rsidRPr="00893805">
              <w:t xml:space="preserve">One Complaint was referred to the </w:t>
            </w:r>
            <w:r w:rsidR="00893805" w:rsidRPr="00893805">
              <w:t xml:space="preserve">FAIS </w:t>
            </w:r>
            <w:proofErr w:type="spellStart"/>
            <w:r w:rsidRPr="00893805">
              <w:t>Ombud</w:t>
            </w:r>
            <w:proofErr w:type="spellEnd"/>
            <w:r w:rsidRPr="00893805">
              <w:t xml:space="preserve">. The complaint was about the suitability of the </w:t>
            </w:r>
            <w:r w:rsidR="00893805" w:rsidRPr="00893805">
              <w:t xml:space="preserve">financial </w:t>
            </w:r>
            <w:r w:rsidRPr="00893805">
              <w:t xml:space="preserve">advice </w:t>
            </w:r>
            <w:r w:rsidR="00893805" w:rsidRPr="00893805">
              <w:t xml:space="preserve">that was </w:t>
            </w:r>
            <w:r w:rsidRPr="00893805">
              <w:t xml:space="preserve">furnished to the client. The </w:t>
            </w:r>
            <w:r w:rsidR="00893805" w:rsidRPr="00893805">
              <w:t xml:space="preserve">FAIS </w:t>
            </w:r>
            <w:proofErr w:type="spellStart"/>
            <w:r w:rsidRPr="00893805">
              <w:t>Ombud</w:t>
            </w:r>
            <w:proofErr w:type="spellEnd"/>
            <w:r w:rsidRPr="00893805">
              <w:t xml:space="preserve"> ruled that the </w:t>
            </w:r>
            <w:r w:rsidR="00893805" w:rsidRPr="00893805">
              <w:t xml:space="preserve">Record of Advice was adequate as it </w:t>
            </w:r>
            <w:r w:rsidR="00303BF4">
              <w:t xml:space="preserve">clearly </w:t>
            </w:r>
            <w:r w:rsidR="00893805" w:rsidRPr="00893805">
              <w:t>provided a brief summary of the information and material on which the advice was based</w:t>
            </w:r>
            <w:r w:rsidR="00303BF4">
              <w:t xml:space="preserve">. The Record of Advice also listed the </w:t>
            </w:r>
            <w:r w:rsidR="00893805" w:rsidRPr="00893805">
              <w:t>financial products that were recommended</w:t>
            </w:r>
            <w:r w:rsidR="00893805">
              <w:t>,</w:t>
            </w:r>
            <w:r w:rsidR="00893805" w:rsidRPr="00893805">
              <w:t xml:space="preserve"> with an explanation of why the products selected by the client</w:t>
            </w:r>
            <w:r w:rsidR="00893805">
              <w:t>,</w:t>
            </w:r>
            <w:r w:rsidR="00893805" w:rsidRPr="00893805">
              <w:t xml:space="preserve"> is likely to satisfy the client’s identified needs and objectives. </w:t>
            </w:r>
            <w:r w:rsidRPr="00893805">
              <w:t xml:space="preserve">The complaint was </w:t>
            </w:r>
            <w:r w:rsidR="00893805">
              <w:t xml:space="preserve">therefore </w:t>
            </w:r>
            <w:r w:rsidRPr="00893805">
              <w:t>dismissed.</w:t>
            </w:r>
          </w:p>
        </w:tc>
      </w:tr>
      <w:tr w:rsidR="000A4FC3" w14:paraId="4D29215C" w14:textId="77777777" w:rsidTr="00FE1DA5">
        <w:tc>
          <w:tcPr>
            <w:tcW w:w="1276" w:type="dxa"/>
          </w:tcPr>
          <w:p w14:paraId="4E81E051" w14:textId="77777777" w:rsidR="000A4FC3" w:rsidRPr="003113FC" w:rsidRDefault="003353F1" w:rsidP="00B115F7">
            <w:pPr>
              <w:rPr>
                <w:b/>
              </w:rPr>
            </w:pPr>
            <w:r w:rsidRPr="003113FC">
              <w:rPr>
                <w:b/>
              </w:rPr>
              <w:t>15.3</w:t>
            </w:r>
          </w:p>
        </w:tc>
        <w:tc>
          <w:tcPr>
            <w:tcW w:w="9356" w:type="dxa"/>
          </w:tcPr>
          <w:p w14:paraId="67875086" w14:textId="3265EF6D" w:rsidR="000A4FC3" w:rsidRPr="003113FC" w:rsidRDefault="003353F1" w:rsidP="00B307EF">
            <w:pPr>
              <w:jc w:val="both"/>
            </w:pPr>
            <w:r w:rsidRPr="003113FC">
              <w:t>The FSP do</w:t>
            </w:r>
            <w:r w:rsidR="00E74C19" w:rsidRPr="003113FC">
              <w:t>es</w:t>
            </w:r>
            <w:r w:rsidRPr="003113FC">
              <w:t xml:space="preserve"> not make use of electronic documents. Paper documents are kept safe and stored in </w:t>
            </w:r>
            <w:r w:rsidR="003113FC" w:rsidRPr="003113FC">
              <w:t xml:space="preserve">lockable </w:t>
            </w:r>
            <w:r w:rsidRPr="003113FC">
              <w:t>steel filing cabinet where</w:t>
            </w:r>
            <w:r w:rsidR="00E74C19" w:rsidRPr="003113FC">
              <w:t xml:space="preserve"> it </w:t>
            </w:r>
            <w:r w:rsidR="00DB54DB">
              <w:t xml:space="preserve">cannot be accessed by any unauthorized persons and where it </w:t>
            </w:r>
            <w:r w:rsidR="00E74C19" w:rsidRPr="003113FC">
              <w:t xml:space="preserve">is </w:t>
            </w:r>
            <w:r w:rsidR="003113FC" w:rsidRPr="003113FC">
              <w:t xml:space="preserve">kept </w:t>
            </w:r>
            <w:r w:rsidR="00E74C19" w:rsidRPr="003113FC">
              <w:t xml:space="preserve">safe from </w:t>
            </w:r>
            <w:r w:rsidR="00303BF4">
              <w:t xml:space="preserve">any potential </w:t>
            </w:r>
            <w:r w:rsidR="00DB54DB">
              <w:t xml:space="preserve">hazards such as </w:t>
            </w:r>
            <w:r w:rsidR="00303BF4">
              <w:t>fire</w:t>
            </w:r>
            <w:r w:rsidR="00DB54DB">
              <w:t xml:space="preserve"> or </w:t>
            </w:r>
            <w:r w:rsidR="003113FC" w:rsidRPr="003113FC">
              <w:t xml:space="preserve">water </w:t>
            </w:r>
            <w:r w:rsidR="00DB54DB">
              <w:t>damage.</w:t>
            </w:r>
          </w:p>
        </w:tc>
      </w:tr>
      <w:tr w:rsidR="000A4FC3" w14:paraId="600ECA7C" w14:textId="77777777" w:rsidTr="00FE1DA5">
        <w:tc>
          <w:tcPr>
            <w:tcW w:w="1276" w:type="dxa"/>
          </w:tcPr>
          <w:p w14:paraId="3DF1A9DA" w14:textId="77777777" w:rsidR="000A4FC3" w:rsidRDefault="00466E78" w:rsidP="00B115F7">
            <w:pPr>
              <w:rPr>
                <w:b/>
              </w:rPr>
            </w:pPr>
            <w:r>
              <w:rPr>
                <w:b/>
              </w:rPr>
              <w:t>16.2.1</w:t>
            </w:r>
          </w:p>
        </w:tc>
        <w:tc>
          <w:tcPr>
            <w:tcW w:w="9356" w:type="dxa"/>
          </w:tcPr>
          <w:p w14:paraId="7B0DEB74" w14:textId="69F484FC" w:rsidR="000A4FC3" w:rsidRPr="003113FC" w:rsidRDefault="00466E78" w:rsidP="00B307EF">
            <w:pPr>
              <w:jc w:val="both"/>
            </w:pPr>
            <w:r w:rsidRPr="003113FC">
              <w:t>The FSP will review the risks associated with providing uninterrupted financial services to its clients. A documented Business Continuity Plan will be im</w:t>
            </w:r>
            <w:r w:rsidR="003113FC" w:rsidRPr="003113FC">
              <w:t>plemented prior to 31 March 201</w:t>
            </w:r>
            <w:r w:rsidR="00DB54DB">
              <w:t>8</w:t>
            </w:r>
            <w:r w:rsidRPr="003113FC">
              <w:t>.</w:t>
            </w:r>
          </w:p>
        </w:tc>
      </w:tr>
      <w:tr w:rsidR="003353F1" w14:paraId="39B064F3" w14:textId="77777777" w:rsidTr="00FE1DA5">
        <w:tc>
          <w:tcPr>
            <w:tcW w:w="1276" w:type="dxa"/>
          </w:tcPr>
          <w:p w14:paraId="327ACEF0" w14:textId="77777777" w:rsidR="003353F1" w:rsidRDefault="00B676E8" w:rsidP="00B115F7">
            <w:pPr>
              <w:rPr>
                <w:b/>
              </w:rPr>
            </w:pPr>
            <w:r>
              <w:rPr>
                <w:b/>
              </w:rPr>
              <w:t>17.1</w:t>
            </w:r>
          </w:p>
        </w:tc>
        <w:tc>
          <w:tcPr>
            <w:tcW w:w="9356" w:type="dxa"/>
          </w:tcPr>
          <w:p w14:paraId="2C61A980" w14:textId="36C13F57" w:rsidR="003353F1" w:rsidRPr="00574C9D" w:rsidRDefault="00B676E8" w:rsidP="00B307EF">
            <w:pPr>
              <w:jc w:val="both"/>
              <w:rPr>
                <w:highlight w:val="yellow"/>
              </w:rPr>
            </w:pPr>
            <w:r w:rsidRPr="00B307EF">
              <w:t xml:space="preserve">The FSP </w:t>
            </w:r>
            <w:r w:rsidR="00DB54DB">
              <w:t>required</w:t>
            </w:r>
            <w:r w:rsidRPr="00B307EF">
              <w:t xml:space="preserve"> clients </w:t>
            </w:r>
            <w:r w:rsidR="00DB54DB">
              <w:t xml:space="preserve">to contractually </w:t>
            </w:r>
            <w:r w:rsidR="00A673CB" w:rsidRPr="00B307EF">
              <w:t xml:space="preserve">waive their right to receive </w:t>
            </w:r>
            <w:r w:rsidR="00DB54DB">
              <w:t xml:space="preserve">information that must be </w:t>
            </w:r>
            <w:r w:rsidR="00A673CB" w:rsidRPr="00B307EF">
              <w:t>disclos</w:t>
            </w:r>
            <w:r w:rsidR="00DB54DB">
              <w:t>ed</w:t>
            </w:r>
            <w:r w:rsidR="00A673CB" w:rsidRPr="00B307EF">
              <w:t xml:space="preserve"> </w:t>
            </w:r>
            <w:r w:rsidR="002E13B6" w:rsidRPr="00B307EF">
              <w:t>in writing as this information was</w:t>
            </w:r>
            <w:r w:rsidR="00A673CB" w:rsidRPr="00B307EF">
              <w:t xml:space="preserve"> </w:t>
            </w:r>
            <w:r w:rsidR="00303BF4">
              <w:t xml:space="preserve">already </w:t>
            </w:r>
            <w:r w:rsidR="00A673CB" w:rsidRPr="00B307EF">
              <w:t xml:space="preserve">provided verbally. </w:t>
            </w:r>
            <w:r w:rsidR="00B307EF" w:rsidRPr="00B307EF">
              <w:t>The FSP has</w:t>
            </w:r>
            <w:r w:rsidR="00A673CB" w:rsidRPr="00B307EF">
              <w:t xml:space="preserve"> subsequently amended </w:t>
            </w:r>
            <w:r w:rsidR="00DB54DB">
              <w:t>its</w:t>
            </w:r>
            <w:r w:rsidR="00A673CB" w:rsidRPr="00B307EF">
              <w:t xml:space="preserve"> SLA and</w:t>
            </w:r>
            <w:r w:rsidR="00B307EF" w:rsidRPr="00B307EF">
              <w:t xml:space="preserve"> will</w:t>
            </w:r>
            <w:r w:rsidR="00A673CB" w:rsidRPr="00B307EF">
              <w:t xml:space="preserve"> now disclose all </w:t>
            </w:r>
            <w:r w:rsidR="002E13B6" w:rsidRPr="00B307EF">
              <w:t>relevant information</w:t>
            </w:r>
            <w:r w:rsidR="00B307EF" w:rsidRPr="00B307EF">
              <w:t xml:space="preserve"> as required by the General Code of Conduct</w:t>
            </w:r>
            <w:r w:rsidR="002E13B6" w:rsidRPr="00B307EF">
              <w:t xml:space="preserve"> in writing</w:t>
            </w:r>
            <w:r w:rsidR="00B307EF" w:rsidRPr="00B307EF">
              <w:t>.</w:t>
            </w:r>
          </w:p>
        </w:tc>
      </w:tr>
      <w:tr w:rsidR="003353F1" w14:paraId="0D5D3F98" w14:textId="77777777" w:rsidTr="00FE1DA5">
        <w:tc>
          <w:tcPr>
            <w:tcW w:w="1276" w:type="dxa"/>
          </w:tcPr>
          <w:p w14:paraId="3F1D82C3" w14:textId="77777777" w:rsidR="003353F1" w:rsidRDefault="00B307EF" w:rsidP="00B115F7">
            <w:pPr>
              <w:rPr>
                <w:b/>
              </w:rPr>
            </w:pPr>
            <w:r>
              <w:rPr>
                <w:b/>
              </w:rPr>
              <w:t>18.7</w:t>
            </w:r>
            <w:r w:rsidR="00D223B2">
              <w:rPr>
                <w:b/>
              </w:rPr>
              <w:t>.1</w:t>
            </w:r>
          </w:p>
        </w:tc>
        <w:tc>
          <w:tcPr>
            <w:tcW w:w="9356" w:type="dxa"/>
          </w:tcPr>
          <w:p w14:paraId="6A2E4D6D" w14:textId="1B2607DC" w:rsidR="003353F1" w:rsidRPr="00574C9D" w:rsidRDefault="00D223B2" w:rsidP="00B307EF">
            <w:pPr>
              <w:jc w:val="both"/>
              <w:rPr>
                <w:highlight w:val="yellow"/>
              </w:rPr>
            </w:pPr>
            <w:r w:rsidRPr="00B307EF">
              <w:t xml:space="preserve">The FSP was not aware that </w:t>
            </w:r>
            <w:r w:rsidR="000941D6">
              <w:t xml:space="preserve">it may not enter into transactions with anonymous clients. </w:t>
            </w:r>
            <w:r w:rsidRPr="00B307EF">
              <w:t xml:space="preserve">The FSP has subsequently adopted the use of FICA </w:t>
            </w:r>
            <w:r w:rsidR="000941D6">
              <w:t>Client Due Diligence Forms to risk rate and identify its clients.</w:t>
            </w:r>
          </w:p>
        </w:tc>
      </w:tr>
      <w:tr w:rsidR="00FB0732" w14:paraId="70035471" w14:textId="77777777" w:rsidTr="00FE1DA5">
        <w:tc>
          <w:tcPr>
            <w:tcW w:w="1276" w:type="dxa"/>
          </w:tcPr>
          <w:p w14:paraId="4D5D5A66" w14:textId="77777777" w:rsidR="00FB0732" w:rsidRPr="0010209D" w:rsidRDefault="00D0721D" w:rsidP="00B115F7">
            <w:pPr>
              <w:rPr>
                <w:b/>
              </w:rPr>
            </w:pPr>
            <w:r>
              <w:rPr>
                <w:b/>
              </w:rPr>
              <w:t>21.2.1</w:t>
            </w:r>
          </w:p>
        </w:tc>
        <w:tc>
          <w:tcPr>
            <w:tcW w:w="9356" w:type="dxa"/>
          </w:tcPr>
          <w:p w14:paraId="1161CD08" w14:textId="77777777" w:rsidR="00FB0732" w:rsidRPr="00B307EF" w:rsidRDefault="00D0721D" w:rsidP="00B307EF">
            <w:pPr>
              <w:jc w:val="both"/>
            </w:pPr>
            <w:r w:rsidRPr="00B307EF">
              <w:t>The Certification of Accreditation as Heath Care Broker was suspended due to the late payment of fees. All fees are now up to date and the suspension has been lifted by the Council of Medical Schemes.</w:t>
            </w:r>
          </w:p>
        </w:tc>
      </w:tr>
      <w:tr w:rsidR="00FB0732" w14:paraId="7D02EAE8" w14:textId="77777777" w:rsidTr="00F80E61">
        <w:trPr>
          <w:trHeight w:val="371"/>
        </w:trPr>
        <w:tc>
          <w:tcPr>
            <w:tcW w:w="1276" w:type="dxa"/>
          </w:tcPr>
          <w:p w14:paraId="4ACB5728" w14:textId="5EB43D61" w:rsidR="00FB0732" w:rsidRPr="0010209D" w:rsidRDefault="00D0721D" w:rsidP="00B115F7">
            <w:pPr>
              <w:rPr>
                <w:b/>
              </w:rPr>
            </w:pPr>
            <w:r>
              <w:rPr>
                <w:b/>
              </w:rPr>
              <w:t>21.2.</w:t>
            </w:r>
            <w:r w:rsidR="000941D6">
              <w:rPr>
                <w:b/>
              </w:rPr>
              <w:t>3</w:t>
            </w:r>
          </w:p>
        </w:tc>
        <w:tc>
          <w:tcPr>
            <w:tcW w:w="9356" w:type="dxa"/>
          </w:tcPr>
          <w:p w14:paraId="75DB66C8" w14:textId="77777777" w:rsidR="00FB0732" w:rsidRPr="00B307EF" w:rsidRDefault="00D0721D" w:rsidP="00B307EF">
            <w:pPr>
              <w:jc w:val="both"/>
            </w:pPr>
            <w:r w:rsidRPr="00B307EF">
              <w:t xml:space="preserve">Discovery Medical Aid / </w:t>
            </w:r>
            <w:proofErr w:type="spellStart"/>
            <w:r w:rsidRPr="00B307EF">
              <w:t>Fedhealth</w:t>
            </w:r>
            <w:proofErr w:type="spellEnd"/>
            <w:r w:rsidRPr="00B307EF">
              <w:t xml:space="preserve"> / </w:t>
            </w:r>
            <w:proofErr w:type="spellStart"/>
            <w:r w:rsidRPr="00B307EF">
              <w:t>Bestmed</w:t>
            </w:r>
            <w:proofErr w:type="spellEnd"/>
          </w:p>
        </w:tc>
      </w:tr>
    </w:tbl>
    <w:p w14:paraId="73FAC7FB" w14:textId="77777777" w:rsidR="00FD6814" w:rsidRPr="00FD6814" w:rsidRDefault="00FD6814" w:rsidP="00FD6814">
      <w:pPr>
        <w:jc w:val="center"/>
        <w:rPr>
          <w:rFonts w:ascii="Arial" w:hAnsi="Arial" w:cs="Arial"/>
          <w:b/>
          <w:sz w:val="32"/>
          <w:szCs w:val="32"/>
        </w:rPr>
      </w:pPr>
    </w:p>
    <w:sectPr w:rsidR="00FD6814" w:rsidRPr="00FD6814" w:rsidSect="00FD6814">
      <w:pgSz w:w="12240" w:h="15840"/>
      <w:pgMar w:top="851" w:right="1440" w:bottom="454" w:left="1440" w:header="709" w:footer="709" w:gutter="0"/>
      <w:pgBorders w:offsetFrom="page">
        <w:top w:val="single" w:sz="18" w:space="24" w:color="auto"/>
        <w:left w:val="single" w:sz="18" w:space="24" w:color="auto"/>
        <w:bottom w:val="single" w:sz="18" w:space="24" w:color="auto"/>
        <w:right w:val="single" w:sz="18"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07DE"/>
    <w:rsid w:val="00004DAC"/>
    <w:rsid w:val="000941D6"/>
    <w:rsid w:val="000A4E8F"/>
    <w:rsid w:val="000A4FC3"/>
    <w:rsid w:val="00172C18"/>
    <w:rsid w:val="001919C0"/>
    <w:rsid w:val="00225E27"/>
    <w:rsid w:val="002A07DE"/>
    <w:rsid w:val="002E13B6"/>
    <w:rsid w:val="00303BF4"/>
    <w:rsid w:val="003102B6"/>
    <w:rsid w:val="003113FC"/>
    <w:rsid w:val="00324F12"/>
    <w:rsid w:val="003353F1"/>
    <w:rsid w:val="00376E66"/>
    <w:rsid w:val="003F08EA"/>
    <w:rsid w:val="00411374"/>
    <w:rsid w:val="00466E78"/>
    <w:rsid w:val="00486A9F"/>
    <w:rsid w:val="00574C9D"/>
    <w:rsid w:val="00600D3C"/>
    <w:rsid w:val="00611898"/>
    <w:rsid w:val="00640649"/>
    <w:rsid w:val="0069751D"/>
    <w:rsid w:val="006D0F12"/>
    <w:rsid w:val="006E541A"/>
    <w:rsid w:val="00732159"/>
    <w:rsid w:val="0078455E"/>
    <w:rsid w:val="007C5C29"/>
    <w:rsid w:val="008207D1"/>
    <w:rsid w:val="008445B6"/>
    <w:rsid w:val="008478C2"/>
    <w:rsid w:val="00884B3F"/>
    <w:rsid w:val="00887032"/>
    <w:rsid w:val="00893805"/>
    <w:rsid w:val="008B303F"/>
    <w:rsid w:val="0093158A"/>
    <w:rsid w:val="009525A4"/>
    <w:rsid w:val="009826B5"/>
    <w:rsid w:val="009A7D87"/>
    <w:rsid w:val="009D36D7"/>
    <w:rsid w:val="009D3C89"/>
    <w:rsid w:val="00A268A6"/>
    <w:rsid w:val="00A673CB"/>
    <w:rsid w:val="00A911E7"/>
    <w:rsid w:val="00AD055D"/>
    <w:rsid w:val="00AD69CD"/>
    <w:rsid w:val="00B307EF"/>
    <w:rsid w:val="00B36572"/>
    <w:rsid w:val="00B643EB"/>
    <w:rsid w:val="00B676E8"/>
    <w:rsid w:val="00C2277E"/>
    <w:rsid w:val="00C91CA1"/>
    <w:rsid w:val="00CD3C4E"/>
    <w:rsid w:val="00D0721D"/>
    <w:rsid w:val="00D223B2"/>
    <w:rsid w:val="00DB54DB"/>
    <w:rsid w:val="00DC5C50"/>
    <w:rsid w:val="00DC7F2E"/>
    <w:rsid w:val="00DD140A"/>
    <w:rsid w:val="00DE41CE"/>
    <w:rsid w:val="00E1698F"/>
    <w:rsid w:val="00E74C19"/>
    <w:rsid w:val="00E756D8"/>
    <w:rsid w:val="00E82720"/>
    <w:rsid w:val="00E977BC"/>
    <w:rsid w:val="00F3507B"/>
    <w:rsid w:val="00F41F24"/>
    <w:rsid w:val="00F76AFB"/>
    <w:rsid w:val="00F80E61"/>
    <w:rsid w:val="00FB0732"/>
    <w:rsid w:val="00FB2AF9"/>
    <w:rsid w:val="00FC43C8"/>
    <w:rsid w:val="00FD6814"/>
    <w:rsid w:val="00FE1D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B15FE"/>
  <w15:docId w15:val="{E61E4726-6E99-40AC-A403-04D981206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D68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32159"/>
    <w:rPr>
      <w:color w:val="0000FF" w:themeColor="hyperlink"/>
      <w:u w:val="single"/>
    </w:rPr>
  </w:style>
  <w:style w:type="paragraph" w:styleId="BalloonText">
    <w:name w:val="Balloon Text"/>
    <w:basedOn w:val="Normal"/>
    <w:link w:val="BalloonTextChar"/>
    <w:uiPriority w:val="99"/>
    <w:semiHidden/>
    <w:unhideWhenUsed/>
    <w:rsid w:val="00FC43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43C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684</Words>
  <Characters>3903</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 Lavagna</dc:creator>
  <cp:keywords/>
  <dc:description/>
  <cp:lastModifiedBy>Bobby Londt</cp:lastModifiedBy>
  <cp:revision>2</cp:revision>
  <cp:lastPrinted>2017-02-07T11:10:00Z</cp:lastPrinted>
  <dcterms:created xsi:type="dcterms:W3CDTF">2018-02-21T08:31:00Z</dcterms:created>
  <dcterms:modified xsi:type="dcterms:W3CDTF">2018-02-21T08:31:00Z</dcterms:modified>
</cp:coreProperties>
</file>