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7206" w14:textId="77777777" w:rsidR="00093B05" w:rsidRDefault="00093B05" w:rsidP="008477FE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0BA330FE" w14:textId="77777777" w:rsidR="00672A0D" w:rsidRDefault="00672A0D" w:rsidP="003A0057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SUSPENDED CONTRIBUTIONS, FEWER </w:t>
      </w:r>
      <w:r w:rsidR="006C7361">
        <w:rPr>
          <w:rFonts w:cstheme="minorHAnsi"/>
          <w:b/>
          <w:bCs/>
          <w:sz w:val="20"/>
          <w:szCs w:val="20"/>
        </w:rPr>
        <w:t xml:space="preserve">FUND </w:t>
      </w:r>
      <w:r>
        <w:rPr>
          <w:rFonts w:cstheme="minorHAnsi"/>
          <w:b/>
          <w:bCs/>
          <w:sz w:val="20"/>
          <w:szCs w:val="20"/>
        </w:rPr>
        <w:t>MEMBERS, GREATER FOCUS ON WELLNESS</w:t>
      </w:r>
    </w:p>
    <w:p w14:paraId="0E9B2777" w14:textId="77777777" w:rsidR="00093B05" w:rsidRDefault="00093B05" w:rsidP="003A0057">
      <w:pPr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Sanlam Benchmark Survey </w:t>
      </w:r>
      <w:r w:rsidR="00B16547">
        <w:rPr>
          <w:rFonts w:cstheme="minorHAnsi"/>
          <w:b/>
          <w:bCs/>
          <w:sz w:val="20"/>
          <w:szCs w:val="20"/>
        </w:rPr>
        <w:t>has shown</w:t>
      </w:r>
      <w:r>
        <w:rPr>
          <w:rFonts w:cstheme="minorHAnsi"/>
          <w:b/>
          <w:bCs/>
          <w:sz w:val="20"/>
          <w:szCs w:val="20"/>
        </w:rPr>
        <w:t xml:space="preserve"> impact of </w:t>
      </w:r>
      <w:r w:rsidR="00A54423">
        <w:rPr>
          <w:rFonts w:cstheme="minorHAnsi"/>
          <w:b/>
          <w:bCs/>
          <w:sz w:val="20"/>
          <w:szCs w:val="20"/>
        </w:rPr>
        <w:t>COVID</w:t>
      </w:r>
      <w:r>
        <w:rPr>
          <w:rFonts w:cstheme="minorHAnsi"/>
          <w:b/>
          <w:bCs/>
          <w:sz w:val="20"/>
          <w:szCs w:val="20"/>
        </w:rPr>
        <w:t xml:space="preserve">-19 on retirement in South </w:t>
      </w:r>
      <w:proofErr w:type="gramStart"/>
      <w:r>
        <w:rPr>
          <w:rFonts w:cstheme="minorHAnsi"/>
          <w:b/>
          <w:bCs/>
          <w:sz w:val="20"/>
          <w:szCs w:val="20"/>
        </w:rPr>
        <w:t>Africa</w:t>
      </w:r>
      <w:proofErr w:type="gramEnd"/>
    </w:p>
    <w:p w14:paraId="7145B3A1" w14:textId="77777777" w:rsidR="00965D6C" w:rsidRPr="006C7361" w:rsidRDefault="00965D6C" w:rsidP="003A0057">
      <w:pPr>
        <w:spacing w:after="0" w:line="360" w:lineRule="auto"/>
        <w:jc w:val="both"/>
        <w:rPr>
          <w:rStyle w:val="normaltextrun"/>
          <w:rFonts w:eastAsia="Arial" w:cstheme="minorHAnsi"/>
          <w:b/>
          <w:color w:val="000000" w:themeColor="text1"/>
          <w:lang w:val="en-US" w:eastAsia="en-ZA"/>
        </w:rPr>
      </w:pPr>
    </w:p>
    <w:p w14:paraId="1A09188F" w14:textId="77777777" w:rsidR="00891F29" w:rsidRPr="003A0057" w:rsidRDefault="00774C6D" w:rsidP="003A0057">
      <w:pPr>
        <w:spacing w:after="0" w:line="360" w:lineRule="auto"/>
        <w:rPr>
          <w:rFonts w:cstheme="minorHAnsi"/>
          <w:lang w:val="en-US"/>
        </w:rPr>
      </w:pPr>
      <w:r w:rsidRPr="006C7361">
        <w:rPr>
          <w:rFonts w:cstheme="minorHAnsi"/>
          <w:i/>
        </w:rPr>
        <w:t>South</w:t>
      </w:r>
      <w:r w:rsidR="00DD7B3A" w:rsidRPr="006C7361">
        <w:rPr>
          <w:rFonts w:cstheme="minorHAnsi"/>
          <w:i/>
        </w:rPr>
        <w:t xml:space="preserve"> Africa</w:t>
      </w:r>
      <w:r w:rsidRPr="006C7361">
        <w:rPr>
          <w:rFonts w:cstheme="minorHAnsi"/>
          <w:i/>
        </w:rPr>
        <w:t>,</w:t>
      </w:r>
      <w:r w:rsidR="00DD7B3A" w:rsidRPr="006C7361">
        <w:rPr>
          <w:rFonts w:cstheme="minorHAnsi"/>
          <w:i/>
        </w:rPr>
        <w:t xml:space="preserve"> </w:t>
      </w:r>
      <w:r w:rsidRPr="006C7361">
        <w:rPr>
          <w:rFonts w:cstheme="minorHAnsi"/>
          <w:i/>
        </w:rPr>
        <w:t>22 June 2021:</w:t>
      </w:r>
      <w:r w:rsidR="00A20440" w:rsidRPr="006C7361">
        <w:rPr>
          <w:rFonts w:cstheme="minorHAnsi"/>
          <w:b/>
          <w:bCs/>
          <w:lang w:val="en-US"/>
        </w:rPr>
        <w:t xml:space="preserve"> </w:t>
      </w:r>
      <w:r w:rsidR="00672A0D" w:rsidRPr="006C7361">
        <w:rPr>
          <w:rFonts w:cstheme="minorHAnsi"/>
          <w:lang w:val="en-US"/>
        </w:rPr>
        <w:t xml:space="preserve">Sanlam today released the results of its </w:t>
      </w:r>
      <w:hyperlink r:id="rId5" w:history="1">
        <w:r w:rsidR="00672A0D" w:rsidRPr="006C7361">
          <w:rPr>
            <w:rStyle w:val="Hyperlink"/>
            <w:rFonts w:cstheme="minorHAnsi"/>
            <w:lang w:val="en-US"/>
          </w:rPr>
          <w:t>40</w:t>
        </w:r>
        <w:r w:rsidR="00672A0D" w:rsidRPr="006C7361">
          <w:rPr>
            <w:rStyle w:val="Hyperlink"/>
            <w:rFonts w:cstheme="minorHAnsi"/>
            <w:vertAlign w:val="superscript"/>
            <w:lang w:val="en-US"/>
          </w:rPr>
          <w:t>th</w:t>
        </w:r>
        <w:r w:rsidR="00672A0D" w:rsidRPr="006C7361">
          <w:rPr>
            <w:rStyle w:val="Hyperlink"/>
            <w:rFonts w:cstheme="minorHAnsi"/>
            <w:lang w:val="en-US"/>
          </w:rPr>
          <w:t xml:space="preserve"> Benchmark Survey</w:t>
        </w:r>
      </w:hyperlink>
      <w:r w:rsidR="00672A0D" w:rsidRPr="006C7361">
        <w:rPr>
          <w:rFonts w:cstheme="minorHAnsi"/>
          <w:lang w:val="en-US"/>
        </w:rPr>
        <w:t xml:space="preserve">. The research </w:t>
      </w:r>
      <w:r w:rsidR="00980685" w:rsidRPr="006C7361">
        <w:rPr>
          <w:rFonts w:cstheme="minorHAnsi"/>
          <w:lang w:val="en-US"/>
        </w:rPr>
        <w:t>showed the</w:t>
      </w:r>
      <w:r w:rsidR="0050740C" w:rsidRPr="006C7361">
        <w:rPr>
          <w:rFonts w:cstheme="minorHAnsi"/>
          <w:lang w:val="en-US"/>
        </w:rPr>
        <w:t xml:space="preserve"> deep</w:t>
      </w:r>
      <w:r w:rsidR="00980685" w:rsidRPr="006C7361">
        <w:rPr>
          <w:rFonts w:cstheme="minorHAnsi"/>
          <w:lang w:val="en-US"/>
        </w:rPr>
        <w:t xml:space="preserve"> impact </w:t>
      </w:r>
      <w:r w:rsidR="00B73F95">
        <w:rPr>
          <w:rFonts w:cstheme="minorHAnsi"/>
          <w:lang w:val="en-US"/>
        </w:rPr>
        <w:t>that</w:t>
      </w:r>
      <w:r w:rsidR="00980685" w:rsidRPr="006C7361">
        <w:rPr>
          <w:rFonts w:cstheme="minorHAnsi"/>
          <w:lang w:val="en-US"/>
        </w:rPr>
        <w:t xml:space="preserve"> COVID-19 </w:t>
      </w:r>
      <w:r w:rsidR="00B73F95">
        <w:rPr>
          <w:rFonts w:cstheme="minorHAnsi"/>
          <w:lang w:val="en-US"/>
        </w:rPr>
        <w:t>had on</w:t>
      </w:r>
      <w:r w:rsidR="00980685" w:rsidRPr="006C7361">
        <w:rPr>
          <w:rFonts w:cstheme="minorHAnsi"/>
          <w:lang w:val="en-US"/>
        </w:rPr>
        <w:t xml:space="preserve"> the retirement industry, </w:t>
      </w:r>
      <w:r w:rsidR="006F5E40">
        <w:rPr>
          <w:rFonts w:cstheme="minorHAnsi"/>
          <w:lang w:val="en-US"/>
        </w:rPr>
        <w:t>with</w:t>
      </w:r>
      <w:r w:rsidR="006C17F1">
        <w:rPr>
          <w:rFonts w:cstheme="minorHAnsi"/>
          <w:lang w:val="en-US"/>
        </w:rPr>
        <w:t xml:space="preserve"> </w:t>
      </w:r>
      <w:r w:rsidR="00A20440" w:rsidRPr="006C7361">
        <w:rPr>
          <w:rFonts w:cstheme="minorHAnsi"/>
          <w:lang w:val="en-US"/>
        </w:rPr>
        <w:t>27% of stand</w:t>
      </w:r>
      <w:r w:rsidR="006B16B8">
        <w:rPr>
          <w:rFonts w:cstheme="minorHAnsi"/>
          <w:lang w:val="en-US"/>
        </w:rPr>
        <w:t>-</w:t>
      </w:r>
      <w:r w:rsidR="00A20440" w:rsidRPr="006C7361">
        <w:rPr>
          <w:rFonts w:cstheme="minorHAnsi"/>
          <w:lang w:val="en-US"/>
        </w:rPr>
        <w:t>alone retirement funds and 41% of umbrella funds</w:t>
      </w:r>
      <w:r w:rsidR="00BD72FB">
        <w:rPr>
          <w:rFonts w:cstheme="minorHAnsi"/>
          <w:lang w:val="en-US"/>
        </w:rPr>
        <w:t>’</w:t>
      </w:r>
      <w:r w:rsidR="00A20440" w:rsidRPr="006C7361">
        <w:rPr>
          <w:rFonts w:cstheme="minorHAnsi"/>
          <w:lang w:val="en-US"/>
        </w:rPr>
        <w:t xml:space="preserve"> employers </w:t>
      </w:r>
      <w:r w:rsidR="009B78F4">
        <w:rPr>
          <w:rFonts w:cstheme="minorHAnsi"/>
          <w:lang w:val="en-US"/>
        </w:rPr>
        <w:t xml:space="preserve">having </w:t>
      </w:r>
      <w:r w:rsidR="00A20440" w:rsidRPr="006C7361">
        <w:rPr>
          <w:rFonts w:cstheme="minorHAnsi"/>
          <w:lang w:val="en-US"/>
        </w:rPr>
        <w:t xml:space="preserve">suspended retirement fund </w:t>
      </w:r>
      <w:r w:rsidR="00A20440" w:rsidRPr="003A0057">
        <w:rPr>
          <w:rFonts w:cstheme="minorHAnsi"/>
          <w:lang w:val="en-US"/>
        </w:rPr>
        <w:t>contributions</w:t>
      </w:r>
      <w:r w:rsidR="00615F7F" w:rsidRPr="003A0057">
        <w:rPr>
          <w:rFonts w:cstheme="minorHAnsi"/>
          <w:lang w:val="en-US"/>
        </w:rPr>
        <w:t xml:space="preserve"> </w:t>
      </w:r>
      <w:r w:rsidR="00A25F9E" w:rsidRPr="003A0057">
        <w:rPr>
          <w:rFonts w:cstheme="minorHAnsi"/>
          <w:lang w:val="en-US"/>
        </w:rPr>
        <w:t>last year</w:t>
      </w:r>
      <w:r w:rsidR="00FB606A">
        <w:rPr>
          <w:rFonts w:cstheme="minorHAnsi"/>
          <w:lang w:val="en-US"/>
        </w:rPr>
        <w:t>. This resulted</w:t>
      </w:r>
      <w:r w:rsidR="009B78F4" w:rsidRPr="003A0057">
        <w:rPr>
          <w:rFonts w:cstheme="minorHAnsi"/>
          <w:lang w:val="en-US"/>
        </w:rPr>
        <w:t xml:space="preserve"> in an </w:t>
      </w:r>
      <w:r w:rsidR="00615F7F" w:rsidRPr="003A0057">
        <w:rPr>
          <w:rFonts w:cstheme="minorHAnsi"/>
          <w:lang w:val="en-US"/>
        </w:rPr>
        <w:t xml:space="preserve">average </w:t>
      </w:r>
      <w:r w:rsidR="00B6746C" w:rsidRPr="003A0057">
        <w:rPr>
          <w:rFonts w:cstheme="minorHAnsi"/>
          <w:lang w:val="en-US"/>
        </w:rPr>
        <w:t xml:space="preserve">suspension </w:t>
      </w:r>
      <w:r w:rsidR="00615F7F" w:rsidRPr="003A0057">
        <w:rPr>
          <w:rFonts w:cstheme="minorHAnsi"/>
          <w:lang w:val="en-US"/>
        </w:rPr>
        <w:t xml:space="preserve">across all </w:t>
      </w:r>
      <w:r w:rsidR="00A25F9E" w:rsidRPr="003A0057">
        <w:rPr>
          <w:rFonts w:cstheme="minorHAnsi"/>
          <w:lang w:val="en-US"/>
        </w:rPr>
        <w:t>fund types</w:t>
      </w:r>
      <w:r w:rsidR="00615F7F" w:rsidRPr="003A0057">
        <w:rPr>
          <w:rFonts w:cstheme="minorHAnsi"/>
          <w:lang w:val="en-US"/>
        </w:rPr>
        <w:t xml:space="preserve"> </w:t>
      </w:r>
      <w:r w:rsidR="009B78F4" w:rsidRPr="003A0057">
        <w:rPr>
          <w:rFonts w:cstheme="minorHAnsi"/>
          <w:lang w:val="en-US"/>
        </w:rPr>
        <w:t>of</w:t>
      </w:r>
      <w:r w:rsidR="00615F7F" w:rsidRPr="003A0057">
        <w:rPr>
          <w:rFonts w:cstheme="minorHAnsi"/>
          <w:lang w:val="en-US"/>
        </w:rPr>
        <w:t xml:space="preserve"> </w:t>
      </w:r>
      <w:r w:rsidR="00A25F9E" w:rsidRPr="003A0057">
        <w:rPr>
          <w:rFonts w:cstheme="minorHAnsi"/>
          <w:lang w:val="en-US"/>
        </w:rPr>
        <w:t>4.5</w:t>
      </w:r>
      <w:r w:rsidR="00A20440" w:rsidRPr="003A0057">
        <w:rPr>
          <w:rFonts w:cstheme="minorHAnsi"/>
          <w:lang w:val="en-US"/>
        </w:rPr>
        <w:t xml:space="preserve"> months. </w:t>
      </w:r>
    </w:p>
    <w:p w14:paraId="69FFDD2B" w14:textId="77777777" w:rsidR="00672A0D" w:rsidRPr="003A0057" w:rsidRDefault="00672A0D" w:rsidP="003A0057">
      <w:pPr>
        <w:spacing w:after="0" w:line="360" w:lineRule="auto"/>
        <w:rPr>
          <w:rFonts w:cstheme="minorHAnsi"/>
          <w:lang w:val="en-US"/>
        </w:rPr>
      </w:pPr>
    </w:p>
    <w:p w14:paraId="17D4B5CE" w14:textId="77777777" w:rsidR="00672A0D" w:rsidRPr="003A0057" w:rsidRDefault="000F3056" w:rsidP="003A0057">
      <w:pPr>
        <w:spacing w:after="0" w:line="360" w:lineRule="auto"/>
        <w:rPr>
          <w:rFonts w:cstheme="minorHAnsi"/>
          <w:lang w:val="en-US"/>
        </w:rPr>
      </w:pPr>
      <w:r w:rsidRPr="003A0057">
        <w:rPr>
          <w:rFonts w:cstheme="minorHAnsi"/>
        </w:rPr>
        <w:t>T</w:t>
      </w:r>
      <w:r w:rsidR="00E45B8D" w:rsidRPr="003A0057">
        <w:rPr>
          <w:rFonts w:cstheme="minorHAnsi"/>
        </w:rPr>
        <w:t>he Sanlam Benchmark Survey has driven thought leadership and collaboration in the industry</w:t>
      </w:r>
      <w:r w:rsidRPr="003A0057">
        <w:rPr>
          <w:rFonts w:cstheme="minorHAnsi"/>
        </w:rPr>
        <w:t xml:space="preserve"> for 40 years</w:t>
      </w:r>
      <w:r w:rsidR="00E45B8D" w:rsidRPr="003A0057">
        <w:rPr>
          <w:rFonts w:cstheme="minorHAnsi"/>
        </w:rPr>
        <w:t xml:space="preserve">. This year, </w:t>
      </w:r>
      <w:r w:rsidR="00672A0D" w:rsidRPr="003A0057">
        <w:rPr>
          <w:rFonts w:cstheme="minorHAnsi"/>
          <w:lang w:val="en-US"/>
        </w:rPr>
        <w:t xml:space="preserve">90 </w:t>
      </w:r>
      <w:r w:rsidR="006B16B8" w:rsidRPr="003A0057">
        <w:rPr>
          <w:rFonts w:cstheme="minorHAnsi"/>
          <w:lang w:val="en-US"/>
        </w:rPr>
        <w:t xml:space="preserve">stand-alone </w:t>
      </w:r>
      <w:r w:rsidR="00672A0D" w:rsidRPr="003A0057">
        <w:rPr>
          <w:rFonts w:cstheme="minorHAnsi"/>
          <w:lang w:val="en-US"/>
        </w:rPr>
        <w:t xml:space="preserve">funds, 10 </w:t>
      </w:r>
      <w:r w:rsidR="006B16B8" w:rsidRPr="003A0057">
        <w:rPr>
          <w:rFonts w:cstheme="minorHAnsi"/>
          <w:lang w:val="en-US"/>
        </w:rPr>
        <w:t xml:space="preserve">stand-alone </w:t>
      </w:r>
      <w:r w:rsidR="00672A0D" w:rsidRPr="003A0057">
        <w:rPr>
          <w:rFonts w:cstheme="minorHAnsi"/>
          <w:lang w:val="en-US"/>
        </w:rPr>
        <w:t>union funds and 100 employers participating in umbrella funds</w:t>
      </w:r>
      <w:r w:rsidR="00A2427B" w:rsidRPr="003A0057">
        <w:rPr>
          <w:rFonts w:cstheme="minorHAnsi"/>
          <w:lang w:val="en-US"/>
        </w:rPr>
        <w:t xml:space="preserve"> </w:t>
      </w:r>
      <w:r w:rsidR="00E45B8D" w:rsidRPr="003A0057">
        <w:rPr>
          <w:rFonts w:cstheme="minorHAnsi"/>
          <w:lang w:val="en-US"/>
        </w:rPr>
        <w:t>were surveyed</w:t>
      </w:r>
      <w:r w:rsidR="00AC0693" w:rsidRPr="003A0057">
        <w:rPr>
          <w:rFonts w:cstheme="minorHAnsi"/>
          <w:lang w:val="en-US"/>
        </w:rPr>
        <w:t xml:space="preserve">. </w:t>
      </w:r>
      <w:r w:rsidR="00672A0D" w:rsidRPr="003A0057">
        <w:rPr>
          <w:rFonts w:cstheme="minorHAnsi"/>
          <w:lang w:val="en-US"/>
        </w:rPr>
        <w:t xml:space="preserve">The 10 union funds </w:t>
      </w:r>
      <w:r w:rsidR="005B237D" w:rsidRPr="003A0057">
        <w:rPr>
          <w:rFonts w:cstheme="minorHAnsi"/>
          <w:lang w:val="en-US"/>
        </w:rPr>
        <w:t>re</w:t>
      </w:r>
      <w:r w:rsidR="00672A0D" w:rsidRPr="003A0057">
        <w:rPr>
          <w:rFonts w:cstheme="minorHAnsi"/>
          <w:lang w:val="en-US"/>
        </w:rPr>
        <w:t>present</w:t>
      </w:r>
      <w:r w:rsidR="00C570AA">
        <w:rPr>
          <w:rFonts w:cstheme="minorHAnsi"/>
          <w:lang w:val="en-US"/>
        </w:rPr>
        <w:t>ed</w:t>
      </w:r>
      <w:r w:rsidR="00672A0D" w:rsidRPr="003A0057">
        <w:rPr>
          <w:rFonts w:cstheme="minorHAnsi"/>
          <w:lang w:val="en-US"/>
        </w:rPr>
        <w:t xml:space="preserve"> a total of R109 billion in assets </w:t>
      </w:r>
      <w:r w:rsidR="00A25F9E" w:rsidRPr="003A0057">
        <w:rPr>
          <w:rFonts w:cstheme="minorHAnsi"/>
          <w:lang w:val="en-US"/>
        </w:rPr>
        <w:t>and</w:t>
      </w:r>
      <w:r w:rsidR="00672A0D" w:rsidRPr="003A0057">
        <w:rPr>
          <w:rFonts w:cstheme="minorHAnsi"/>
          <w:lang w:val="en-US"/>
        </w:rPr>
        <w:t xml:space="preserve"> 512 200 members. </w:t>
      </w:r>
    </w:p>
    <w:p w14:paraId="564F6AFD" w14:textId="77777777" w:rsidR="00275E6E" w:rsidRPr="003A0057" w:rsidRDefault="00275E6E" w:rsidP="003A0057">
      <w:pPr>
        <w:spacing w:after="0" w:line="360" w:lineRule="auto"/>
        <w:rPr>
          <w:rStyle w:val="normaltextrun"/>
          <w:rFonts w:cstheme="minorHAnsi"/>
        </w:rPr>
      </w:pPr>
    </w:p>
    <w:p w14:paraId="3FC84CDE" w14:textId="77777777" w:rsidR="003A0057" w:rsidRPr="003A0057" w:rsidRDefault="00672A0D" w:rsidP="003A0057">
      <w:pPr>
        <w:spacing w:after="0" w:line="360" w:lineRule="auto"/>
        <w:rPr>
          <w:rFonts w:cstheme="minorHAnsi"/>
        </w:rPr>
      </w:pPr>
      <w:r w:rsidRPr="003A0057">
        <w:rPr>
          <w:rFonts w:cstheme="minorHAnsi"/>
        </w:rPr>
        <w:t>Additional k</w:t>
      </w:r>
      <w:r w:rsidR="00891F29" w:rsidRPr="003A0057">
        <w:rPr>
          <w:rFonts w:cstheme="minorHAnsi"/>
        </w:rPr>
        <w:t>ey findings</w:t>
      </w:r>
      <w:r w:rsidRPr="003A0057">
        <w:rPr>
          <w:rFonts w:cstheme="minorHAnsi"/>
        </w:rPr>
        <w:t xml:space="preserve"> were</w:t>
      </w:r>
      <w:r w:rsidR="00891F29" w:rsidRPr="003A0057">
        <w:rPr>
          <w:rFonts w:cstheme="minorHAnsi"/>
        </w:rPr>
        <w:t>:</w:t>
      </w:r>
    </w:p>
    <w:p w14:paraId="0239BC24" w14:textId="77777777" w:rsidR="00275E6E" w:rsidRPr="003A0057" w:rsidRDefault="00432C37" w:rsidP="003A0057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Theme="minorHAnsi" w:hAnsiTheme="minorHAnsi" w:cstheme="minorHAnsi"/>
        </w:rPr>
      </w:pPr>
      <w:r w:rsidRPr="003A0057">
        <w:rPr>
          <w:rFonts w:cs="HelveticaNeueLT Std"/>
          <w:bCs/>
          <w:color w:val="000000"/>
        </w:rPr>
        <w:t xml:space="preserve">Since the implementation of default regulations, </w:t>
      </w:r>
      <w:r w:rsidR="00772AE6" w:rsidRPr="003A0057">
        <w:rPr>
          <w:rFonts w:cs="HelveticaNeueLT Std"/>
          <w:bCs/>
          <w:color w:val="000000"/>
        </w:rPr>
        <w:t xml:space="preserve">funds </w:t>
      </w:r>
      <w:r w:rsidRPr="003A0057">
        <w:rPr>
          <w:rFonts w:cs="HelveticaNeueLT Std"/>
          <w:bCs/>
          <w:color w:val="000000"/>
        </w:rPr>
        <w:t>noticed an improvement in member behaviour with regard</w:t>
      </w:r>
      <w:r w:rsidR="00772AE6" w:rsidRPr="003A0057">
        <w:rPr>
          <w:rFonts w:cs="HelveticaNeueLT Std"/>
          <w:bCs/>
          <w:color w:val="000000"/>
        </w:rPr>
        <w:t>s</w:t>
      </w:r>
      <w:r w:rsidRPr="003A0057">
        <w:rPr>
          <w:rFonts w:cs="HelveticaNeueLT Std"/>
          <w:bCs/>
          <w:color w:val="000000"/>
        </w:rPr>
        <w:t xml:space="preserve"> to </w:t>
      </w:r>
      <w:r w:rsidR="002601F7" w:rsidRPr="003A0057">
        <w:rPr>
          <w:rFonts w:cs="HelveticaNeueLT Std"/>
          <w:bCs/>
          <w:color w:val="000000"/>
        </w:rPr>
        <w:t xml:space="preserve">the </w:t>
      </w:r>
      <w:r w:rsidR="003352C6" w:rsidRPr="003A0057">
        <w:rPr>
          <w:rFonts w:cs="HelveticaNeueLT Std"/>
          <w:bCs/>
          <w:color w:val="000000"/>
        </w:rPr>
        <w:t>utilisation</w:t>
      </w:r>
      <w:r w:rsidR="00772AE6" w:rsidRPr="003A0057">
        <w:rPr>
          <w:rFonts w:cs="HelveticaNeueLT Std"/>
          <w:bCs/>
          <w:color w:val="000000"/>
        </w:rPr>
        <w:t xml:space="preserve"> of retirement benefit counselling</w:t>
      </w:r>
      <w:r w:rsidR="00EF2D20" w:rsidRPr="003A0057">
        <w:rPr>
          <w:rFonts w:cs="HelveticaNeueLT Std"/>
          <w:bCs/>
          <w:color w:val="000000"/>
        </w:rPr>
        <w:t xml:space="preserve">, but not </w:t>
      </w:r>
      <w:r w:rsidR="00275E6E" w:rsidRPr="003A0057">
        <w:rPr>
          <w:rFonts w:cs="HelveticaNeueLT Std"/>
          <w:bCs/>
          <w:color w:val="000000"/>
        </w:rPr>
        <w:t>necessarily</w:t>
      </w:r>
      <w:r w:rsidR="00EF2D20" w:rsidRPr="003A0057">
        <w:rPr>
          <w:rFonts w:cs="HelveticaNeueLT Std"/>
          <w:bCs/>
          <w:color w:val="000000"/>
        </w:rPr>
        <w:t xml:space="preserve"> an </w:t>
      </w:r>
      <w:r w:rsidR="00275E6E" w:rsidRPr="003A0057">
        <w:rPr>
          <w:rFonts w:cs="HelveticaNeueLT Std"/>
          <w:bCs/>
          <w:color w:val="000000"/>
        </w:rPr>
        <w:t>improvement</w:t>
      </w:r>
      <w:r w:rsidR="00EF2D20" w:rsidRPr="003A0057">
        <w:rPr>
          <w:rFonts w:cs="HelveticaNeueLT Std"/>
          <w:bCs/>
          <w:color w:val="000000"/>
        </w:rPr>
        <w:t xml:space="preserve"> in preservation </w:t>
      </w:r>
      <w:r w:rsidR="00275E6E" w:rsidRPr="003A0057">
        <w:rPr>
          <w:rFonts w:cs="HelveticaNeueLT Std"/>
          <w:bCs/>
          <w:color w:val="000000"/>
        </w:rPr>
        <w:t>and annuitisation.</w:t>
      </w:r>
    </w:p>
    <w:p w14:paraId="7BF35C3C" w14:textId="77777777" w:rsidR="00275E6E" w:rsidRPr="003A0057" w:rsidRDefault="00EF2D20" w:rsidP="003A0057">
      <w:pPr>
        <w:pStyle w:val="ListParagraph"/>
        <w:numPr>
          <w:ilvl w:val="0"/>
          <w:numId w:val="13"/>
        </w:numPr>
        <w:spacing w:line="360" w:lineRule="auto"/>
        <w:ind w:left="360"/>
        <w:rPr>
          <w:rFonts w:cstheme="minorHAnsi"/>
        </w:rPr>
      </w:pPr>
      <w:r w:rsidRPr="003A0057">
        <w:rPr>
          <w:rFonts w:cstheme="minorHAnsi"/>
          <w:b/>
          <w:bCs/>
          <w:lang w:val="en-US"/>
        </w:rPr>
        <w:t>57%</w:t>
      </w:r>
      <w:r w:rsidRPr="003A0057">
        <w:rPr>
          <w:rFonts w:cstheme="minorHAnsi"/>
          <w:lang w:val="en-US"/>
        </w:rPr>
        <w:t xml:space="preserve"> of stand-alone funds </w:t>
      </w:r>
      <w:r w:rsidR="00275E6E" w:rsidRPr="003A0057">
        <w:rPr>
          <w:rFonts w:cstheme="minorHAnsi"/>
          <w:lang w:val="en-US"/>
        </w:rPr>
        <w:t>indicated</w:t>
      </w:r>
      <w:r w:rsidRPr="003A0057">
        <w:rPr>
          <w:rFonts w:cstheme="minorHAnsi"/>
          <w:lang w:val="en-US"/>
        </w:rPr>
        <w:t xml:space="preserve"> that they had not seen an improvement in member preservation.</w:t>
      </w:r>
    </w:p>
    <w:p w14:paraId="42265B9E" w14:textId="77777777" w:rsidR="00275E6E" w:rsidRPr="00C570AA" w:rsidRDefault="00275E6E" w:rsidP="006D1992">
      <w:pPr>
        <w:pStyle w:val="ListParagraph"/>
        <w:numPr>
          <w:ilvl w:val="0"/>
          <w:numId w:val="13"/>
        </w:numPr>
        <w:spacing w:line="360" w:lineRule="auto"/>
        <w:ind w:left="360"/>
        <w:rPr>
          <w:rFonts w:eastAsia="Times New Roman" w:cstheme="minorHAnsi"/>
        </w:rPr>
      </w:pPr>
      <w:r w:rsidRPr="00C570AA">
        <w:rPr>
          <w:rFonts w:cs="HelveticaNeueLT Std"/>
          <w:color w:val="000000"/>
        </w:rPr>
        <w:t xml:space="preserve">In terms of benefit </w:t>
      </w:r>
      <w:r w:rsidR="009B78F4" w:rsidRPr="00C570AA">
        <w:rPr>
          <w:rFonts w:cs="HelveticaNeueLT Std"/>
          <w:color w:val="000000"/>
        </w:rPr>
        <w:t>counselling,</w:t>
      </w:r>
      <w:r w:rsidRPr="00C570AA">
        <w:rPr>
          <w:rFonts w:cs="HelveticaNeueLT Std"/>
          <w:color w:val="000000"/>
        </w:rPr>
        <w:t xml:space="preserve"> </w:t>
      </w:r>
      <w:r w:rsidR="00432C37" w:rsidRPr="00C570AA">
        <w:rPr>
          <w:rFonts w:cstheme="minorHAnsi"/>
          <w:b/>
        </w:rPr>
        <w:t>69%</w:t>
      </w:r>
      <w:r w:rsidR="00432C37" w:rsidRPr="00C570AA">
        <w:rPr>
          <w:rFonts w:cstheme="minorHAnsi"/>
          <w:bCs/>
        </w:rPr>
        <w:t xml:space="preserve"> of stand-alone funds indicated that they </w:t>
      </w:r>
      <w:r w:rsidR="003A0057" w:rsidRPr="00C570AA">
        <w:rPr>
          <w:rFonts w:cstheme="minorHAnsi"/>
          <w:bCs/>
        </w:rPr>
        <w:t>had</w:t>
      </w:r>
      <w:r w:rsidR="00432C37" w:rsidRPr="00C570AA">
        <w:rPr>
          <w:rFonts w:cstheme="minorHAnsi"/>
          <w:bCs/>
        </w:rPr>
        <w:t xml:space="preserve"> </w:t>
      </w:r>
      <w:r w:rsidR="00C570AA" w:rsidRPr="00C570AA">
        <w:rPr>
          <w:rFonts w:cstheme="minorHAnsi"/>
          <w:bCs/>
        </w:rPr>
        <w:t xml:space="preserve">made </w:t>
      </w:r>
      <w:r w:rsidR="000434D1" w:rsidRPr="00C570AA">
        <w:rPr>
          <w:rFonts w:cstheme="minorHAnsi"/>
          <w:bCs/>
        </w:rPr>
        <w:t>greater</w:t>
      </w:r>
      <w:r w:rsidR="00432C37" w:rsidRPr="00C570AA">
        <w:rPr>
          <w:rFonts w:cstheme="minorHAnsi"/>
          <w:bCs/>
        </w:rPr>
        <w:t xml:space="preserve"> use of retirement benefit counselling. This </w:t>
      </w:r>
      <w:r w:rsidR="003A0057" w:rsidRPr="00C570AA">
        <w:rPr>
          <w:rFonts w:cstheme="minorHAnsi"/>
          <w:bCs/>
        </w:rPr>
        <w:t>was</w:t>
      </w:r>
      <w:r w:rsidR="00EF2D20" w:rsidRPr="00C570AA">
        <w:rPr>
          <w:rFonts w:cstheme="minorHAnsi"/>
          <w:bCs/>
        </w:rPr>
        <w:t xml:space="preserve"> also</w:t>
      </w:r>
      <w:r w:rsidR="00432C37" w:rsidRPr="00C570AA">
        <w:rPr>
          <w:rFonts w:cstheme="minorHAnsi"/>
          <w:bCs/>
        </w:rPr>
        <w:t xml:space="preserve"> evident in the Sanlam Umbrella fund where </w:t>
      </w:r>
      <w:r w:rsidR="003A0057" w:rsidRPr="00C570AA">
        <w:rPr>
          <w:rFonts w:cstheme="minorHAnsi"/>
          <w:bCs/>
        </w:rPr>
        <w:t>on</w:t>
      </w:r>
      <w:r w:rsidR="00432C37" w:rsidRPr="00C570AA">
        <w:rPr>
          <w:rFonts w:cstheme="minorHAnsi"/>
          <w:bCs/>
        </w:rPr>
        <w:t xml:space="preserve">e of the main drivers </w:t>
      </w:r>
      <w:r w:rsidR="00C532F8" w:rsidRPr="00C570AA">
        <w:rPr>
          <w:rFonts w:cstheme="minorHAnsi"/>
          <w:bCs/>
        </w:rPr>
        <w:t>for</w:t>
      </w:r>
      <w:r w:rsidR="00432C37" w:rsidRPr="00C570AA">
        <w:rPr>
          <w:rFonts w:cstheme="minorHAnsi"/>
          <w:bCs/>
        </w:rPr>
        <w:t xml:space="preserve"> the increasing preservation rate </w:t>
      </w:r>
      <w:r w:rsidR="000434D1" w:rsidRPr="00C570AA">
        <w:rPr>
          <w:rFonts w:cstheme="minorHAnsi"/>
          <w:bCs/>
        </w:rPr>
        <w:t>was</w:t>
      </w:r>
      <w:r w:rsidR="003A0057" w:rsidRPr="00C570AA">
        <w:rPr>
          <w:rFonts w:cstheme="minorHAnsi"/>
          <w:bCs/>
        </w:rPr>
        <w:t xml:space="preserve"> believed to have bee</w:t>
      </w:r>
      <w:r w:rsidR="00432C37" w:rsidRPr="00C570AA">
        <w:rPr>
          <w:rFonts w:cstheme="minorHAnsi"/>
          <w:bCs/>
        </w:rPr>
        <w:t xml:space="preserve">n proactive </w:t>
      </w:r>
      <w:r w:rsidR="00C570AA" w:rsidRPr="00C570AA">
        <w:rPr>
          <w:rFonts w:cstheme="minorHAnsi"/>
          <w:bCs/>
        </w:rPr>
        <w:t>r</w:t>
      </w:r>
      <w:r w:rsidR="00432C37" w:rsidRPr="00C570AA">
        <w:rPr>
          <w:rFonts w:cstheme="minorHAnsi"/>
          <w:bCs/>
        </w:rPr>
        <w:t xml:space="preserve">etirement </w:t>
      </w:r>
      <w:r w:rsidR="00C570AA" w:rsidRPr="00C570AA">
        <w:rPr>
          <w:rFonts w:cstheme="minorHAnsi"/>
          <w:bCs/>
        </w:rPr>
        <w:t>b</w:t>
      </w:r>
      <w:r w:rsidR="00432C37" w:rsidRPr="00C570AA">
        <w:rPr>
          <w:rFonts w:cstheme="minorHAnsi"/>
          <w:bCs/>
        </w:rPr>
        <w:t xml:space="preserve">enefits </w:t>
      </w:r>
      <w:r w:rsidR="00C570AA" w:rsidRPr="00C570AA">
        <w:rPr>
          <w:rFonts w:cstheme="minorHAnsi"/>
          <w:bCs/>
        </w:rPr>
        <w:t>c</w:t>
      </w:r>
      <w:r w:rsidR="00432C37" w:rsidRPr="00C570AA">
        <w:rPr>
          <w:rFonts w:cstheme="minorHAnsi"/>
          <w:bCs/>
        </w:rPr>
        <w:t>ounselling</w:t>
      </w:r>
      <w:r w:rsidR="000434D1" w:rsidRPr="00C570AA">
        <w:rPr>
          <w:rFonts w:cstheme="minorHAnsi"/>
          <w:bCs/>
        </w:rPr>
        <w:t xml:space="preserve">. A </w:t>
      </w:r>
      <w:r w:rsidR="00432C37" w:rsidRPr="00C570AA">
        <w:rPr>
          <w:rFonts w:cstheme="minorHAnsi"/>
          <w:bCs/>
        </w:rPr>
        <w:t xml:space="preserve">positive difference </w:t>
      </w:r>
      <w:r w:rsidR="000434D1" w:rsidRPr="00C570AA">
        <w:rPr>
          <w:rFonts w:cstheme="minorHAnsi"/>
          <w:bCs/>
        </w:rPr>
        <w:t>was seen in</w:t>
      </w:r>
      <w:r w:rsidR="00432C37" w:rsidRPr="00C570AA">
        <w:rPr>
          <w:rFonts w:cstheme="minorHAnsi"/>
          <w:bCs/>
        </w:rPr>
        <w:t xml:space="preserve"> </w:t>
      </w:r>
      <w:r w:rsidR="00C570AA" w:rsidRPr="00C570AA">
        <w:rPr>
          <w:rFonts w:cstheme="minorHAnsi"/>
          <w:bCs/>
        </w:rPr>
        <w:t xml:space="preserve">the </w:t>
      </w:r>
      <w:r w:rsidR="00432C37" w:rsidRPr="00C570AA">
        <w:rPr>
          <w:rFonts w:cstheme="minorHAnsi"/>
          <w:bCs/>
        </w:rPr>
        <w:t xml:space="preserve">choices </w:t>
      </w:r>
      <w:r w:rsidR="000434D1" w:rsidRPr="00C570AA">
        <w:rPr>
          <w:rFonts w:cstheme="minorHAnsi"/>
          <w:bCs/>
        </w:rPr>
        <w:t xml:space="preserve">made by </w:t>
      </w:r>
      <w:r w:rsidR="00432C37" w:rsidRPr="00C570AA">
        <w:rPr>
          <w:rFonts w:cstheme="minorHAnsi"/>
          <w:bCs/>
        </w:rPr>
        <w:t>members when counselled</w:t>
      </w:r>
      <w:r w:rsidR="000434D1" w:rsidRPr="00C570AA">
        <w:rPr>
          <w:rFonts w:cstheme="minorHAnsi"/>
          <w:bCs/>
        </w:rPr>
        <w:t xml:space="preserve">. </w:t>
      </w:r>
      <w:r w:rsidRPr="00C570AA">
        <w:rPr>
          <w:rFonts w:eastAsia="Times New Roman" w:cstheme="minorHAnsi"/>
          <w:lang w:val="en-GB"/>
        </w:rPr>
        <w:t xml:space="preserve">Since the introduction of the default regulations in 2019, stand-alone funds providing advice at retirement </w:t>
      </w:r>
      <w:r w:rsidR="000434D1" w:rsidRPr="00C570AA">
        <w:rPr>
          <w:rFonts w:eastAsia="Times New Roman" w:cstheme="minorHAnsi"/>
          <w:lang w:val="en-GB"/>
        </w:rPr>
        <w:t>had</w:t>
      </w:r>
      <w:r w:rsidRPr="00C570AA">
        <w:rPr>
          <w:rFonts w:eastAsia="Times New Roman" w:cstheme="minorHAnsi"/>
          <w:lang w:val="en-GB"/>
        </w:rPr>
        <w:t xml:space="preserve"> increased by </w:t>
      </w:r>
      <w:r w:rsidRPr="00C570AA">
        <w:rPr>
          <w:rFonts w:eastAsia="Times New Roman" w:cstheme="minorHAnsi"/>
          <w:b/>
          <w:bCs/>
          <w:lang w:val="en-GB"/>
        </w:rPr>
        <w:t>38%.</w:t>
      </w:r>
    </w:p>
    <w:p w14:paraId="54958381" w14:textId="77777777" w:rsidR="00951E18" w:rsidRPr="003A0057" w:rsidRDefault="00951E18" w:rsidP="003A0057">
      <w:pPr>
        <w:pStyle w:val="ListParagraph"/>
        <w:numPr>
          <w:ilvl w:val="0"/>
          <w:numId w:val="13"/>
        </w:numPr>
        <w:spacing w:line="360" w:lineRule="auto"/>
        <w:ind w:left="360"/>
        <w:rPr>
          <w:rFonts w:cstheme="minorHAnsi"/>
          <w:b/>
          <w:bCs/>
        </w:rPr>
      </w:pPr>
      <w:r w:rsidRPr="003A0057">
        <w:rPr>
          <w:rFonts w:cstheme="minorHAnsi"/>
          <w:lang w:val="en-US"/>
        </w:rPr>
        <w:t xml:space="preserve">A positive outcome brought on by the pandemic was the increased propensity of employers to focus on the overall well-being of the employee. </w:t>
      </w:r>
      <w:r w:rsidRPr="003A0057">
        <w:rPr>
          <w:rFonts w:cstheme="minorHAnsi"/>
          <w:b/>
          <w:bCs/>
          <w:lang w:val="en-US"/>
        </w:rPr>
        <w:t>Half of stand-alone funds</w:t>
      </w:r>
      <w:r w:rsidRPr="003A0057">
        <w:rPr>
          <w:rFonts w:cstheme="minorHAnsi"/>
          <w:lang w:val="en-US"/>
        </w:rPr>
        <w:t xml:space="preserve"> </w:t>
      </w:r>
      <w:r w:rsidR="00275E6E" w:rsidRPr="003A0057">
        <w:rPr>
          <w:rFonts w:cstheme="minorHAnsi"/>
          <w:lang w:val="en-US"/>
        </w:rPr>
        <w:t xml:space="preserve">and </w:t>
      </w:r>
      <w:r w:rsidR="00275E6E" w:rsidRPr="003A0057">
        <w:rPr>
          <w:rFonts w:cstheme="minorHAnsi"/>
          <w:b/>
          <w:bCs/>
          <w:lang w:val="en-US"/>
        </w:rPr>
        <w:t>36%</w:t>
      </w:r>
      <w:r w:rsidR="00275E6E" w:rsidRPr="003A0057">
        <w:rPr>
          <w:rFonts w:cstheme="minorHAnsi"/>
          <w:lang w:val="en-US"/>
        </w:rPr>
        <w:t xml:space="preserve"> of participating employers of umbrella funds </w:t>
      </w:r>
      <w:r w:rsidRPr="003A0057">
        <w:rPr>
          <w:rFonts w:cstheme="minorHAnsi"/>
          <w:lang w:val="en-US"/>
        </w:rPr>
        <w:t>believe</w:t>
      </w:r>
      <w:r w:rsidR="000434D1">
        <w:rPr>
          <w:rFonts w:cstheme="minorHAnsi"/>
          <w:lang w:val="en-US"/>
        </w:rPr>
        <w:t>d</w:t>
      </w:r>
      <w:r w:rsidRPr="003A0057">
        <w:rPr>
          <w:rFonts w:cstheme="minorHAnsi"/>
          <w:lang w:val="en-US"/>
        </w:rPr>
        <w:t xml:space="preserve"> a holistic integrated health and financial wellness </w:t>
      </w:r>
      <w:proofErr w:type="spellStart"/>
      <w:r w:rsidRPr="003A0057">
        <w:rPr>
          <w:rFonts w:cstheme="minorHAnsi"/>
          <w:lang w:val="en-US"/>
        </w:rPr>
        <w:t>programme</w:t>
      </w:r>
      <w:proofErr w:type="spellEnd"/>
      <w:r w:rsidRPr="003A0057">
        <w:rPr>
          <w:rFonts w:cstheme="minorHAnsi"/>
          <w:lang w:val="en-US"/>
        </w:rPr>
        <w:t xml:space="preserve"> delivers higher productivity and employee satisfaction. </w:t>
      </w:r>
      <w:r w:rsidR="00275E6E" w:rsidRPr="003A0057">
        <w:rPr>
          <w:rFonts w:cstheme="minorHAnsi"/>
          <w:lang w:val="en-US"/>
        </w:rPr>
        <w:t xml:space="preserve"> Other funds agree</w:t>
      </w:r>
      <w:r w:rsidR="000434D1">
        <w:rPr>
          <w:rFonts w:cstheme="minorHAnsi"/>
          <w:lang w:val="en-US"/>
        </w:rPr>
        <w:t>d</w:t>
      </w:r>
      <w:r w:rsidR="00275E6E" w:rsidRPr="003A0057">
        <w:rPr>
          <w:rFonts w:cstheme="minorHAnsi"/>
          <w:lang w:val="en-US"/>
        </w:rPr>
        <w:t xml:space="preserve"> that both health and wellness </w:t>
      </w:r>
      <w:proofErr w:type="spellStart"/>
      <w:r w:rsidR="00275E6E" w:rsidRPr="003A0057">
        <w:rPr>
          <w:rFonts w:cstheme="minorHAnsi"/>
          <w:lang w:val="en-US"/>
        </w:rPr>
        <w:t>progra</w:t>
      </w:r>
      <w:r w:rsidR="000434D1">
        <w:rPr>
          <w:rFonts w:cstheme="minorHAnsi"/>
          <w:lang w:val="en-US"/>
        </w:rPr>
        <w:t>mmes</w:t>
      </w:r>
      <w:proofErr w:type="spellEnd"/>
      <w:r w:rsidR="000434D1">
        <w:rPr>
          <w:rFonts w:cstheme="minorHAnsi"/>
          <w:lang w:val="en-US"/>
        </w:rPr>
        <w:t xml:space="preserve"> were</w:t>
      </w:r>
      <w:r w:rsidR="00275E6E" w:rsidRPr="003A0057">
        <w:rPr>
          <w:rFonts w:cstheme="minorHAnsi"/>
          <w:lang w:val="en-US"/>
        </w:rPr>
        <w:t xml:space="preserve"> critical but </w:t>
      </w:r>
      <w:r w:rsidR="000434D1">
        <w:rPr>
          <w:rFonts w:cstheme="minorHAnsi"/>
          <w:lang w:val="en-US"/>
        </w:rPr>
        <w:t>addressed it</w:t>
      </w:r>
      <w:r w:rsidR="00275E6E" w:rsidRPr="003A0057">
        <w:rPr>
          <w:rFonts w:cstheme="minorHAnsi"/>
          <w:lang w:val="en-US"/>
        </w:rPr>
        <w:t xml:space="preserve"> through separate </w:t>
      </w:r>
      <w:proofErr w:type="spellStart"/>
      <w:r w:rsidR="00275E6E" w:rsidRPr="003A0057">
        <w:rPr>
          <w:rFonts w:cstheme="minorHAnsi"/>
          <w:lang w:val="en-US"/>
        </w:rPr>
        <w:t>programmes</w:t>
      </w:r>
      <w:proofErr w:type="spellEnd"/>
      <w:r w:rsidR="00275E6E" w:rsidRPr="003A0057">
        <w:rPr>
          <w:rFonts w:cstheme="minorHAnsi"/>
          <w:lang w:val="en-US"/>
        </w:rPr>
        <w:t>.</w:t>
      </w:r>
    </w:p>
    <w:p w14:paraId="06E2D42B" w14:textId="77777777" w:rsidR="009B78F4" w:rsidRPr="003A0057" w:rsidRDefault="009B78F4" w:rsidP="003A0057">
      <w:pPr>
        <w:pStyle w:val="ListParagraph"/>
        <w:spacing w:line="360" w:lineRule="auto"/>
        <w:rPr>
          <w:rFonts w:asciiTheme="minorHAnsi" w:hAnsiTheme="minorHAnsi" w:cstheme="minorHAnsi"/>
          <w:b/>
          <w:bCs/>
        </w:rPr>
      </w:pPr>
    </w:p>
    <w:p w14:paraId="46F2231A" w14:textId="77777777" w:rsidR="006345D5" w:rsidRPr="003A0057" w:rsidRDefault="006345D5" w:rsidP="003A0057">
      <w:pPr>
        <w:pStyle w:val="ListParagraph"/>
        <w:numPr>
          <w:ilvl w:val="0"/>
          <w:numId w:val="13"/>
        </w:numPr>
        <w:spacing w:line="360" w:lineRule="auto"/>
        <w:ind w:left="360"/>
        <w:rPr>
          <w:rFonts w:cstheme="minorHAnsi"/>
        </w:rPr>
      </w:pPr>
      <w:r w:rsidRPr="003A0057">
        <w:rPr>
          <w:rFonts w:cstheme="minorHAnsi"/>
          <w:bCs/>
        </w:rPr>
        <w:t xml:space="preserve">Members </w:t>
      </w:r>
      <w:r w:rsidR="003A0057">
        <w:rPr>
          <w:rFonts w:cstheme="minorHAnsi"/>
          <w:bCs/>
        </w:rPr>
        <w:t>were</w:t>
      </w:r>
      <w:r w:rsidRPr="003A0057">
        <w:rPr>
          <w:rFonts w:cstheme="minorHAnsi"/>
          <w:bCs/>
        </w:rPr>
        <w:t xml:space="preserve"> impacted by the financial crises </w:t>
      </w:r>
      <w:r w:rsidR="000434D1">
        <w:rPr>
          <w:rFonts w:cstheme="minorHAnsi"/>
          <w:bCs/>
        </w:rPr>
        <w:t>brought on by</w:t>
      </w:r>
      <w:r w:rsidRPr="003A0057">
        <w:rPr>
          <w:rFonts w:cstheme="minorHAnsi"/>
          <w:bCs/>
        </w:rPr>
        <w:t xml:space="preserve"> the pandemic.</w:t>
      </w:r>
      <w:r w:rsidRPr="003A0057">
        <w:rPr>
          <w:rFonts w:cstheme="minorHAnsi"/>
          <w:b/>
          <w:bCs/>
        </w:rPr>
        <w:t xml:space="preserve"> One in three</w:t>
      </w:r>
      <w:r w:rsidRPr="003A0057">
        <w:rPr>
          <w:rFonts w:cstheme="minorHAnsi"/>
        </w:rPr>
        <w:t xml:space="preserve"> funds experienced a reduction in workforce through retrenchments and liquidations. In addition, </w:t>
      </w:r>
      <w:r w:rsidRPr="003A0057">
        <w:rPr>
          <w:rFonts w:cstheme="minorHAnsi"/>
        </w:rPr>
        <w:lastRenderedPageBreak/>
        <w:t xml:space="preserve">members </w:t>
      </w:r>
      <w:r w:rsidR="00C570AA">
        <w:rPr>
          <w:rFonts w:cstheme="minorHAnsi"/>
        </w:rPr>
        <w:t xml:space="preserve">had </w:t>
      </w:r>
      <w:r w:rsidRPr="003A0057">
        <w:rPr>
          <w:rFonts w:cstheme="minorHAnsi"/>
        </w:rPr>
        <w:t>also experienced a reduction</w:t>
      </w:r>
      <w:r w:rsidRPr="003A0057">
        <w:rPr>
          <w:rFonts w:cstheme="minorHAnsi"/>
          <w:lang w:val="en-US"/>
        </w:rPr>
        <w:t xml:space="preserve"> in expected annual increases, a reduction in current pay or </w:t>
      </w:r>
      <w:r w:rsidR="000434D1">
        <w:rPr>
          <w:rFonts w:cstheme="minorHAnsi"/>
          <w:lang w:val="en-US"/>
        </w:rPr>
        <w:t>had</w:t>
      </w:r>
      <w:r w:rsidRPr="003A0057">
        <w:rPr>
          <w:rFonts w:cstheme="minorHAnsi"/>
          <w:lang w:val="en-US"/>
        </w:rPr>
        <w:t xml:space="preserve"> been forced to take sabbaticals without pay. Just under 80% of funds indicated that members experience</w:t>
      </w:r>
      <w:r w:rsidR="000434D1">
        <w:rPr>
          <w:rFonts w:cstheme="minorHAnsi"/>
          <w:lang w:val="en-US"/>
        </w:rPr>
        <w:t>d</w:t>
      </w:r>
      <w:r w:rsidRPr="003A0057">
        <w:rPr>
          <w:rFonts w:cstheme="minorHAnsi"/>
          <w:lang w:val="en-US"/>
        </w:rPr>
        <w:t xml:space="preserve"> at least one of the above. </w:t>
      </w:r>
    </w:p>
    <w:p w14:paraId="52398019" w14:textId="77777777" w:rsidR="00FD5D9C" w:rsidRPr="003A0057" w:rsidRDefault="00FD5D9C" w:rsidP="003A0057">
      <w:pPr>
        <w:spacing w:after="0" w:line="360" w:lineRule="auto"/>
        <w:rPr>
          <w:rFonts w:cstheme="minorHAnsi"/>
          <w:lang w:val="en-US"/>
        </w:rPr>
      </w:pPr>
    </w:p>
    <w:p w14:paraId="02F42F41" w14:textId="77777777" w:rsidR="00681C99" w:rsidRPr="003A0057" w:rsidRDefault="00B75B49" w:rsidP="003A0057">
      <w:pPr>
        <w:spacing w:after="0" w:line="360" w:lineRule="auto"/>
        <w:rPr>
          <w:rFonts w:eastAsia="Times New Roman" w:cstheme="minorHAnsi"/>
          <w:lang w:val="en-GB"/>
        </w:rPr>
      </w:pPr>
      <w:proofErr w:type="spellStart"/>
      <w:r w:rsidRPr="003A0057">
        <w:rPr>
          <w:rFonts w:cstheme="minorHAnsi"/>
          <w:lang w:val="en-US"/>
        </w:rPr>
        <w:t>Kanyisa</w:t>
      </w:r>
      <w:proofErr w:type="spellEnd"/>
      <w:r w:rsidRPr="003A0057">
        <w:rPr>
          <w:rFonts w:cstheme="minorHAnsi"/>
          <w:lang w:val="en-US"/>
        </w:rPr>
        <w:t xml:space="preserve"> </w:t>
      </w:r>
      <w:r w:rsidR="00091430" w:rsidRPr="003A0057">
        <w:rPr>
          <w:rFonts w:cstheme="minorHAnsi"/>
          <w:lang w:val="en-US"/>
        </w:rPr>
        <w:t>Mkhize, chief executive office</w:t>
      </w:r>
      <w:r w:rsidR="00FD5D9C" w:rsidRPr="003A0057">
        <w:rPr>
          <w:rFonts w:cstheme="minorHAnsi"/>
          <w:lang w:val="en-US"/>
        </w:rPr>
        <w:t xml:space="preserve">r at </w:t>
      </w:r>
      <w:r w:rsidR="00091430" w:rsidRPr="003A0057">
        <w:rPr>
          <w:rFonts w:cstheme="minorHAnsi"/>
          <w:lang w:val="en-US"/>
        </w:rPr>
        <w:t>Sanlam Corporate</w:t>
      </w:r>
      <w:r w:rsidR="00D920AC" w:rsidRPr="003A0057">
        <w:rPr>
          <w:rFonts w:cstheme="minorHAnsi"/>
          <w:lang w:val="en-US"/>
        </w:rPr>
        <w:t>,</w:t>
      </w:r>
      <w:r w:rsidR="00091430" w:rsidRPr="003A0057">
        <w:rPr>
          <w:rFonts w:cstheme="minorHAnsi"/>
          <w:lang w:val="en-US"/>
        </w:rPr>
        <w:t xml:space="preserve"> says</w:t>
      </w:r>
      <w:r w:rsidR="000A75BC" w:rsidRPr="003A0057">
        <w:rPr>
          <w:rFonts w:cstheme="minorHAnsi"/>
          <w:lang w:val="en-US"/>
        </w:rPr>
        <w:t xml:space="preserve"> the pandemic has been a setback for South African</w:t>
      </w:r>
      <w:r w:rsidR="00951E18" w:rsidRPr="003A0057">
        <w:rPr>
          <w:rFonts w:cstheme="minorHAnsi"/>
          <w:lang w:val="en-US"/>
        </w:rPr>
        <w:t xml:space="preserve"> retirement fund members and</w:t>
      </w:r>
      <w:r w:rsidR="000A75BC" w:rsidRPr="003A0057">
        <w:rPr>
          <w:rFonts w:cstheme="minorHAnsi"/>
          <w:lang w:val="en-US"/>
        </w:rPr>
        <w:t xml:space="preserve"> retirees. </w:t>
      </w:r>
      <w:r w:rsidR="00A5086A" w:rsidRPr="003A0057">
        <w:rPr>
          <w:rFonts w:eastAsia="Times New Roman" w:cstheme="minorHAnsi"/>
          <w:lang w:val="en-GB"/>
        </w:rPr>
        <w:t xml:space="preserve">“The ultimate financial effect of COVID-19 </w:t>
      </w:r>
      <w:r w:rsidR="00031D09">
        <w:rPr>
          <w:rFonts w:eastAsia="Times New Roman" w:cstheme="minorHAnsi"/>
          <w:lang w:val="en-GB"/>
        </w:rPr>
        <w:t>was</w:t>
      </w:r>
      <w:r w:rsidR="00A5086A" w:rsidRPr="003A0057">
        <w:rPr>
          <w:rFonts w:eastAsia="Times New Roman" w:cstheme="minorHAnsi"/>
          <w:lang w:val="en-GB"/>
        </w:rPr>
        <w:t xml:space="preserve"> the reduced contribution level </w:t>
      </w:r>
      <w:r w:rsidR="00275E6E" w:rsidRPr="003A0057">
        <w:rPr>
          <w:rFonts w:eastAsia="Times New Roman" w:cstheme="minorHAnsi"/>
          <w:lang w:val="en-GB"/>
        </w:rPr>
        <w:t>due to</w:t>
      </w:r>
      <w:r w:rsidR="009409D6" w:rsidRPr="003A0057">
        <w:rPr>
          <w:rFonts w:eastAsia="Times New Roman" w:cstheme="minorHAnsi"/>
          <w:lang w:val="en-GB"/>
        </w:rPr>
        <w:t xml:space="preserve"> contribution suspensions</w:t>
      </w:r>
      <w:r w:rsidR="00772AE6" w:rsidRPr="003A0057">
        <w:rPr>
          <w:rFonts w:eastAsia="Times New Roman" w:cstheme="minorHAnsi"/>
          <w:lang w:val="en-GB"/>
        </w:rPr>
        <w:t>.</w:t>
      </w:r>
      <w:r w:rsidR="00031D09">
        <w:rPr>
          <w:rFonts w:eastAsia="Times New Roman" w:cstheme="minorHAnsi"/>
          <w:lang w:val="en-GB"/>
        </w:rPr>
        <w:t xml:space="preserve"> T</w:t>
      </w:r>
      <w:r w:rsidR="00772AE6" w:rsidRPr="003A0057">
        <w:rPr>
          <w:rFonts w:eastAsia="Times New Roman" w:cstheme="minorHAnsi"/>
          <w:lang w:val="en-GB"/>
        </w:rPr>
        <w:t xml:space="preserve">he industry also recorded an increase in the number of </w:t>
      </w:r>
      <w:r w:rsidR="00A5086A" w:rsidRPr="003A0057">
        <w:rPr>
          <w:rFonts w:eastAsia="Times New Roman" w:cstheme="minorHAnsi"/>
          <w:lang w:val="en-GB"/>
        </w:rPr>
        <w:t>employees cash</w:t>
      </w:r>
      <w:r w:rsidR="0052510A" w:rsidRPr="003A0057">
        <w:rPr>
          <w:rFonts w:eastAsia="Times New Roman" w:cstheme="minorHAnsi"/>
          <w:lang w:val="en-GB"/>
        </w:rPr>
        <w:t>ing</w:t>
      </w:r>
      <w:r w:rsidR="00A93EB6" w:rsidRPr="003A0057">
        <w:rPr>
          <w:rFonts w:eastAsia="Times New Roman" w:cstheme="minorHAnsi"/>
          <w:lang w:val="en-GB"/>
        </w:rPr>
        <w:t xml:space="preserve"> </w:t>
      </w:r>
      <w:r w:rsidR="00031D09">
        <w:rPr>
          <w:rFonts w:eastAsia="Times New Roman" w:cstheme="minorHAnsi"/>
          <w:lang w:val="en-GB"/>
        </w:rPr>
        <w:t xml:space="preserve">in </w:t>
      </w:r>
      <w:r w:rsidR="00A93EB6" w:rsidRPr="003A0057">
        <w:rPr>
          <w:rFonts w:eastAsia="Times New Roman" w:cstheme="minorHAnsi"/>
          <w:lang w:val="en-GB"/>
        </w:rPr>
        <w:t>a significant proportion of</w:t>
      </w:r>
      <w:r w:rsidR="00A5086A" w:rsidRPr="003A0057">
        <w:rPr>
          <w:rFonts w:eastAsia="Times New Roman" w:cstheme="minorHAnsi"/>
          <w:lang w:val="en-GB"/>
        </w:rPr>
        <w:t xml:space="preserve"> their withdrawal benefits</w:t>
      </w:r>
      <w:r w:rsidR="00772AE6" w:rsidRPr="003A0057">
        <w:rPr>
          <w:rFonts w:eastAsia="Times New Roman" w:cstheme="minorHAnsi"/>
          <w:lang w:val="en-GB"/>
        </w:rPr>
        <w:t>.</w:t>
      </w:r>
    </w:p>
    <w:p w14:paraId="6CC580DD" w14:textId="77777777" w:rsidR="00681C99" w:rsidRPr="003A0057" w:rsidRDefault="00681C99" w:rsidP="003A0057">
      <w:pPr>
        <w:spacing w:after="0" w:line="360" w:lineRule="auto"/>
        <w:rPr>
          <w:rFonts w:eastAsia="Times New Roman" w:cstheme="minorHAnsi"/>
          <w:lang w:val="en-GB"/>
        </w:rPr>
      </w:pPr>
    </w:p>
    <w:p w14:paraId="6FED9D97" w14:textId="77777777" w:rsidR="00A5086A" w:rsidRPr="006C7361" w:rsidRDefault="00681C99" w:rsidP="003A0057">
      <w:pPr>
        <w:spacing w:after="0" w:line="360" w:lineRule="auto"/>
        <w:rPr>
          <w:rFonts w:eastAsia="Times New Roman" w:cstheme="minorHAnsi"/>
          <w:lang w:val="en-GB"/>
        </w:rPr>
      </w:pPr>
      <w:r w:rsidRPr="003A0057">
        <w:rPr>
          <w:rFonts w:eastAsia="Times New Roman" w:cstheme="minorHAnsi"/>
          <w:lang w:val="en-GB"/>
        </w:rPr>
        <w:t xml:space="preserve">“Tragically, </w:t>
      </w:r>
      <w:r w:rsidR="00A5086A" w:rsidRPr="003A0057">
        <w:rPr>
          <w:rFonts w:eastAsia="Times New Roman" w:cstheme="minorHAnsi"/>
          <w:lang w:val="en-GB"/>
        </w:rPr>
        <w:t xml:space="preserve">7% of </w:t>
      </w:r>
      <w:r w:rsidR="00772AE6" w:rsidRPr="003A0057">
        <w:rPr>
          <w:rFonts w:eastAsia="Times New Roman" w:cstheme="minorHAnsi"/>
          <w:lang w:val="en-GB"/>
        </w:rPr>
        <w:t>stand-alone funds</w:t>
      </w:r>
      <w:r w:rsidR="00A5086A" w:rsidRPr="003A0057">
        <w:rPr>
          <w:rFonts w:eastAsia="Times New Roman" w:cstheme="minorHAnsi"/>
          <w:lang w:val="en-GB"/>
        </w:rPr>
        <w:t xml:space="preserve"> </w:t>
      </w:r>
      <w:r w:rsidRPr="003A0057">
        <w:rPr>
          <w:rFonts w:eastAsia="Times New Roman" w:cstheme="minorHAnsi"/>
          <w:lang w:val="en-GB"/>
        </w:rPr>
        <w:t>are</w:t>
      </w:r>
      <w:r w:rsidR="00A5086A" w:rsidRPr="003A0057">
        <w:rPr>
          <w:rFonts w:eastAsia="Times New Roman" w:cstheme="minorHAnsi"/>
          <w:lang w:val="en-GB"/>
        </w:rPr>
        <w:t xml:space="preserve"> in the process of liquidation</w:t>
      </w:r>
      <w:r w:rsidRPr="003A0057">
        <w:rPr>
          <w:rFonts w:eastAsia="Times New Roman" w:cstheme="minorHAnsi"/>
          <w:lang w:val="en-GB"/>
        </w:rPr>
        <w:t xml:space="preserve"> and n</w:t>
      </w:r>
      <w:r w:rsidR="00A5086A" w:rsidRPr="003A0057">
        <w:rPr>
          <w:rFonts w:eastAsia="Times New Roman" w:cstheme="minorHAnsi"/>
          <w:lang w:val="en-GB"/>
        </w:rPr>
        <w:t>o less than 40% of funds</w:t>
      </w:r>
      <w:r w:rsidR="00A5086A" w:rsidRPr="006C7361">
        <w:rPr>
          <w:rFonts w:eastAsia="Times New Roman" w:cstheme="minorHAnsi"/>
          <w:lang w:val="en-GB"/>
        </w:rPr>
        <w:t xml:space="preserve"> and employers have shared with us that their staff or members experienced a reduction in pay</w:t>
      </w:r>
      <w:r w:rsidRPr="006C7361">
        <w:rPr>
          <w:rFonts w:eastAsia="Times New Roman" w:cstheme="minorHAnsi"/>
          <w:lang w:val="en-GB"/>
        </w:rPr>
        <w:t xml:space="preserve">. </w:t>
      </w:r>
      <w:r w:rsidR="00A5086A" w:rsidRPr="006C7361">
        <w:rPr>
          <w:rFonts w:eastAsia="Times New Roman" w:cstheme="minorHAnsi"/>
          <w:lang w:val="en-GB"/>
        </w:rPr>
        <w:t>27% stand</w:t>
      </w:r>
      <w:r w:rsidR="006B16B8">
        <w:rPr>
          <w:rFonts w:eastAsia="Times New Roman" w:cstheme="minorHAnsi"/>
          <w:lang w:val="en-GB"/>
        </w:rPr>
        <w:t>-</w:t>
      </w:r>
      <w:r w:rsidR="00A5086A" w:rsidRPr="006C7361">
        <w:rPr>
          <w:rFonts w:eastAsia="Times New Roman" w:cstheme="minorHAnsi"/>
          <w:lang w:val="en-GB"/>
        </w:rPr>
        <w:t>alone funds and 31% participating employers cited retrenchment at the workplace</w:t>
      </w:r>
      <w:r w:rsidR="00031D09">
        <w:rPr>
          <w:rFonts w:eastAsia="Times New Roman" w:cstheme="minorHAnsi"/>
          <w:lang w:val="en-GB"/>
        </w:rPr>
        <w:t>,</w:t>
      </w:r>
      <w:r w:rsidR="00CD2E82" w:rsidRPr="006C7361">
        <w:rPr>
          <w:rFonts w:eastAsia="Times New Roman" w:cstheme="minorHAnsi"/>
          <w:lang w:val="en-GB"/>
        </w:rPr>
        <w:t>”</w:t>
      </w:r>
      <w:r w:rsidR="00031D09">
        <w:rPr>
          <w:rFonts w:eastAsia="Times New Roman" w:cstheme="minorHAnsi"/>
          <w:lang w:val="en-GB"/>
        </w:rPr>
        <w:t xml:space="preserve"> says Mkhize.</w:t>
      </w:r>
    </w:p>
    <w:p w14:paraId="09C38BA4" w14:textId="77777777" w:rsidR="00CD2E82" w:rsidRPr="006C7361" w:rsidRDefault="00CD2E82" w:rsidP="003A0057">
      <w:pPr>
        <w:spacing w:after="0" w:line="360" w:lineRule="auto"/>
        <w:rPr>
          <w:rFonts w:eastAsia="Times New Roman" w:cstheme="minorHAnsi"/>
          <w:lang w:val="en-GB"/>
        </w:rPr>
      </w:pPr>
    </w:p>
    <w:p w14:paraId="2DD0C7B4" w14:textId="77777777" w:rsidR="00D920AC" w:rsidRDefault="00CD2E82" w:rsidP="003A0057">
      <w:pPr>
        <w:spacing w:after="0" w:line="360" w:lineRule="auto"/>
        <w:rPr>
          <w:rFonts w:eastAsia="Times New Roman" w:cstheme="minorHAnsi"/>
          <w:lang w:val="en-GB"/>
        </w:rPr>
      </w:pPr>
      <w:r w:rsidRPr="006C7361">
        <w:rPr>
          <w:rFonts w:eastAsia="Times New Roman" w:cstheme="minorHAnsi"/>
          <w:lang w:val="en-GB"/>
        </w:rPr>
        <w:t>Issues within the retirement industry have been well documented over the Benchmark’s 40</w:t>
      </w:r>
      <w:r w:rsidR="006C7361" w:rsidRPr="006C7361">
        <w:rPr>
          <w:rFonts w:eastAsia="Times New Roman" w:cstheme="minorHAnsi"/>
          <w:lang w:val="en-GB"/>
        </w:rPr>
        <w:t>-</w:t>
      </w:r>
      <w:r w:rsidRPr="006C7361">
        <w:rPr>
          <w:rFonts w:eastAsia="Times New Roman" w:cstheme="minorHAnsi"/>
          <w:lang w:val="en-GB"/>
        </w:rPr>
        <w:t>year history</w:t>
      </w:r>
      <w:r w:rsidR="006C7361" w:rsidRPr="006C7361">
        <w:rPr>
          <w:rFonts w:eastAsia="Times New Roman" w:cstheme="minorHAnsi"/>
          <w:lang w:val="en-GB"/>
        </w:rPr>
        <w:t xml:space="preserve"> with findings repeatedly highlighting </w:t>
      </w:r>
      <w:r w:rsidR="00BD72FB">
        <w:rPr>
          <w:rFonts w:eastAsia="Times New Roman" w:cstheme="minorHAnsi"/>
          <w:lang w:val="en-GB"/>
        </w:rPr>
        <w:t xml:space="preserve">a </w:t>
      </w:r>
      <w:r w:rsidR="006C7361" w:rsidRPr="006C7361">
        <w:rPr>
          <w:rFonts w:eastAsia="Times New Roman" w:cstheme="minorHAnsi"/>
          <w:lang w:val="en-GB"/>
        </w:rPr>
        <w:t>lack of</w:t>
      </w:r>
      <w:r w:rsidR="00A93EB6">
        <w:rPr>
          <w:rFonts w:eastAsia="Times New Roman" w:cstheme="minorHAnsi"/>
          <w:lang w:val="en-GB"/>
        </w:rPr>
        <w:t xml:space="preserve"> adequate</w:t>
      </w:r>
      <w:r w:rsidR="006C7361" w:rsidRPr="006C7361">
        <w:rPr>
          <w:rFonts w:eastAsia="Times New Roman" w:cstheme="minorHAnsi"/>
          <w:lang w:val="en-GB"/>
        </w:rPr>
        <w:t xml:space="preserve"> </w:t>
      </w:r>
      <w:r w:rsidR="00772AE6">
        <w:rPr>
          <w:rFonts w:eastAsia="Times New Roman" w:cstheme="minorHAnsi"/>
          <w:lang w:val="en-GB"/>
        </w:rPr>
        <w:t>preservation</w:t>
      </w:r>
      <w:r w:rsidR="00BD72FB">
        <w:rPr>
          <w:rFonts w:eastAsia="Times New Roman" w:cstheme="minorHAnsi"/>
          <w:lang w:val="en-GB"/>
        </w:rPr>
        <w:t>,</w:t>
      </w:r>
      <w:r w:rsidR="006C7361" w:rsidRPr="006C7361">
        <w:rPr>
          <w:rFonts w:eastAsia="Times New Roman" w:cstheme="minorHAnsi"/>
          <w:lang w:val="en-GB"/>
        </w:rPr>
        <w:t xml:space="preserve"> leading to retirees not maintain</w:t>
      </w:r>
      <w:r w:rsidR="0052510A">
        <w:rPr>
          <w:rFonts w:eastAsia="Times New Roman" w:cstheme="minorHAnsi"/>
          <w:lang w:val="en-GB"/>
        </w:rPr>
        <w:t>ing their</w:t>
      </w:r>
      <w:r w:rsidR="006C7361" w:rsidRPr="006C7361">
        <w:rPr>
          <w:rFonts w:eastAsia="Times New Roman" w:cstheme="minorHAnsi"/>
          <w:lang w:val="en-GB"/>
        </w:rPr>
        <w:t xml:space="preserve"> lifestyle into retirement</w:t>
      </w:r>
      <w:r w:rsidR="0052510A">
        <w:rPr>
          <w:rFonts w:eastAsia="Times New Roman" w:cstheme="minorHAnsi"/>
          <w:lang w:val="en-GB"/>
        </w:rPr>
        <w:t xml:space="preserve"> – and </w:t>
      </w:r>
      <w:r w:rsidR="006C7361" w:rsidRPr="006C7361">
        <w:rPr>
          <w:rFonts w:eastAsia="Times New Roman" w:cstheme="minorHAnsi"/>
          <w:lang w:val="en-GB"/>
        </w:rPr>
        <w:t xml:space="preserve">many unable to make ends meet. </w:t>
      </w:r>
    </w:p>
    <w:p w14:paraId="3D8A15EA" w14:textId="77777777" w:rsidR="00D920AC" w:rsidRDefault="00D920AC" w:rsidP="003A0057">
      <w:pPr>
        <w:spacing w:after="0" w:line="360" w:lineRule="auto"/>
        <w:rPr>
          <w:rFonts w:eastAsia="Times New Roman" w:cstheme="minorHAnsi"/>
          <w:lang w:val="en-GB"/>
        </w:rPr>
      </w:pPr>
    </w:p>
    <w:p w14:paraId="75777D75" w14:textId="77777777" w:rsidR="006C7361" w:rsidRPr="006C7361" w:rsidRDefault="006C7361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  <w:r w:rsidRPr="006C7361">
        <w:rPr>
          <w:rFonts w:eastAsia="Times New Roman" w:cstheme="minorHAnsi"/>
          <w:lang w:val="en-GB"/>
        </w:rPr>
        <w:t>“The industry could certainly not afford the pandemic, but it has happened</w:t>
      </w:r>
      <w:r w:rsidR="00BD72FB">
        <w:rPr>
          <w:rFonts w:eastAsia="Times New Roman" w:cstheme="minorHAnsi"/>
          <w:lang w:val="en-GB"/>
        </w:rPr>
        <w:t>,</w:t>
      </w:r>
      <w:r w:rsidRPr="006C7361">
        <w:rPr>
          <w:rFonts w:eastAsia="Times New Roman" w:cstheme="minorHAnsi"/>
          <w:lang w:val="en-GB"/>
        </w:rPr>
        <w:t xml:space="preserve"> and it is time to regroup and work hard to improve the outcomes </w:t>
      </w:r>
      <w:r w:rsidR="000F0CDF">
        <w:rPr>
          <w:rFonts w:eastAsia="Times New Roman" w:cstheme="minorHAnsi"/>
          <w:lang w:val="en-GB"/>
        </w:rPr>
        <w:t>for</w:t>
      </w:r>
      <w:r w:rsidRPr="006C7361">
        <w:rPr>
          <w:rFonts w:eastAsia="Times New Roman" w:cstheme="minorHAnsi"/>
          <w:lang w:val="en-GB"/>
        </w:rPr>
        <w:t xml:space="preserve"> South Africans</w:t>
      </w:r>
      <w:r w:rsidR="0052510A">
        <w:rPr>
          <w:rFonts w:eastAsia="Times New Roman" w:cstheme="minorHAnsi"/>
          <w:lang w:val="en-GB"/>
        </w:rPr>
        <w:t>.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We </w:t>
      </w:r>
      <w:r w:rsidR="003352C6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cannot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ignore the impact and the reality of the pandemic</w:t>
      </w:r>
      <w:r w:rsidR="00031D09">
        <w:rPr>
          <w:rStyle w:val="normaltextrun"/>
          <w:rFonts w:eastAsia="Arial" w:cstheme="minorHAnsi"/>
          <w:color w:val="000000" w:themeColor="text1"/>
          <w:lang w:val="en-US" w:eastAsia="en-ZA"/>
        </w:rPr>
        <w:t>.</w:t>
      </w:r>
    </w:p>
    <w:p w14:paraId="0414EE57" w14:textId="77777777" w:rsidR="006C7361" w:rsidRPr="006C7361" w:rsidRDefault="006C7361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</w:p>
    <w:p w14:paraId="32082465" w14:textId="77777777" w:rsidR="00C00203" w:rsidRPr="006C7361" w:rsidRDefault="00C00203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“Ultimately</w:t>
      </w:r>
      <w:r w:rsidR="00BD72FB">
        <w:rPr>
          <w:rStyle w:val="normaltextrun"/>
          <w:rFonts w:eastAsia="Arial" w:cstheme="minorHAnsi"/>
          <w:color w:val="000000" w:themeColor="text1"/>
          <w:lang w:val="en-US" w:eastAsia="en-ZA"/>
        </w:rPr>
        <w:t>,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our goal at Sanlam is to</w:t>
      </w:r>
      <w:r w:rsidR="00A93EB6" w:rsidRPr="00A93EB6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</w:t>
      </w:r>
      <w:r w:rsidR="00A93EB6">
        <w:rPr>
          <w:rStyle w:val="normaltextrun"/>
          <w:rFonts w:eastAsia="Arial" w:cstheme="minorHAnsi"/>
          <w:color w:val="000000" w:themeColor="text1"/>
          <w:lang w:val="en-US" w:eastAsia="en-ZA"/>
        </w:rPr>
        <w:t>empower our members and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help </w:t>
      </w:r>
      <w:r w:rsidR="00A93EB6">
        <w:rPr>
          <w:rStyle w:val="normaltextrun"/>
          <w:rFonts w:eastAsia="Arial" w:cstheme="minorHAnsi"/>
          <w:color w:val="000000" w:themeColor="text1"/>
          <w:lang w:val="en-US" w:eastAsia="en-ZA"/>
        </w:rPr>
        <w:t>them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live with confidence</w:t>
      </w:r>
      <w:r w:rsidR="00A93EB6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before and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after they retire. </w:t>
      </w:r>
      <w:r w:rsidR="0044598A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Our strategy is to put the member firmly at the </w:t>
      </w:r>
      <w:proofErr w:type="spellStart"/>
      <w:r w:rsidR="0044598A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centre</w:t>
      </w:r>
      <w:proofErr w:type="spellEnd"/>
      <w:r w:rsidR="0044598A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of everything we do – focusing on partnering with them to manag</w:t>
      </w:r>
      <w:r w:rsidR="00BD72FB">
        <w:rPr>
          <w:rStyle w:val="normaltextrun"/>
          <w:rFonts w:eastAsia="Arial" w:cstheme="minorHAnsi"/>
          <w:color w:val="000000" w:themeColor="text1"/>
          <w:lang w:val="en-US" w:eastAsia="en-ZA"/>
        </w:rPr>
        <w:t>e</w:t>
      </w:r>
      <w:r w:rsidR="0044598A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their retirement</w:t>
      </w:r>
      <w:r w:rsidR="00681C99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successfully</w:t>
      </w:r>
      <w:r w:rsidR="0044598A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, during and after their working lives</w:t>
      </w:r>
      <w:r w:rsidR="006C7361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,</w:t>
      </w:r>
      <w:r w:rsidR="0044598A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”</w:t>
      </w:r>
      <w:r w:rsidR="006C7361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said Mkhize.</w:t>
      </w:r>
    </w:p>
    <w:p w14:paraId="7D6917A5" w14:textId="77777777" w:rsidR="00E2154C" w:rsidRPr="006C7361" w:rsidRDefault="00E2154C" w:rsidP="003A0057">
      <w:pPr>
        <w:spacing w:after="0" w:line="360" w:lineRule="auto"/>
        <w:rPr>
          <w:rFonts w:cstheme="minorHAnsi"/>
          <w:b/>
        </w:rPr>
      </w:pPr>
    </w:p>
    <w:p w14:paraId="43BD16CB" w14:textId="77777777" w:rsidR="00A2427B" w:rsidRPr="006C7361" w:rsidRDefault="00A2427B" w:rsidP="003A0057">
      <w:pPr>
        <w:spacing w:after="0" w:line="360" w:lineRule="auto"/>
        <w:rPr>
          <w:rFonts w:cstheme="minorHAnsi"/>
          <w:b/>
          <w:u w:val="single"/>
        </w:rPr>
      </w:pPr>
      <w:r w:rsidRPr="006C7361">
        <w:rPr>
          <w:rFonts w:cstheme="minorHAnsi"/>
          <w:b/>
          <w:u w:val="single"/>
        </w:rPr>
        <w:t>FURTHER RESEARCH ANALYSIS:</w:t>
      </w:r>
    </w:p>
    <w:p w14:paraId="48203B58" w14:textId="77777777" w:rsidR="00615F7F" w:rsidRPr="006C7361" w:rsidRDefault="00615F7F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</w:p>
    <w:p w14:paraId="17917165" w14:textId="77777777" w:rsidR="00615F7F" w:rsidRPr="006C7361" w:rsidRDefault="00615F7F" w:rsidP="003A0057">
      <w:pPr>
        <w:spacing w:after="0" w:line="360" w:lineRule="auto"/>
        <w:rPr>
          <w:rFonts w:cstheme="minorHAnsi"/>
          <w:b/>
        </w:rPr>
      </w:pPr>
      <w:r w:rsidRPr="006C7361">
        <w:rPr>
          <w:rFonts w:cstheme="minorHAnsi"/>
          <w:b/>
        </w:rPr>
        <w:t>Cyber resilience</w:t>
      </w:r>
      <w:r w:rsidR="005870D4" w:rsidRPr="006C7361">
        <w:rPr>
          <w:rFonts w:cstheme="minorHAnsi"/>
          <w:b/>
        </w:rPr>
        <w:t xml:space="preserve"> moving up the </w:t>
      </w:r>
      <w:proofErr w:type="gramStart"/>
      <w:r w:rsidR="005870D4" w:rsidRPr="006C7361">
        <w:rPr>
          <w:rFonts w:cstheme="minorHAnsi"/>
          <w:b/>
        </w:rPr>
        <w:t>agenda</w:t>
      </w:r>
      <w:proofErr w:type="gramEnd"/>
    </w:p>
    <w:p w14:paraId="41B7DBAD" w14:textId="77777777" w:rsidR="00615F7F" w:rsidRPr="006C7361" w:rsidRDefault="00615F7F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With more people working remotely, the risk associated with cyber fraud has been amplified. The 2019 survey highlighted the risk of cyber fraud and in response, </w:t>
      </w:r>
      <w:r w:rsidR="00294F96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the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Cyber Resilience Benchmar</w:t>
      </w:r>
      <w:r w:rsidR="00294F96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k was added to the research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. </w:t>
      </w:r>
    </w:p>
    <w:p w14:paraId="4573473A" w14:textId="77777777" w:rsidR="00615F7F" w:rsidRPr="006C7361" w:rsidRDefault="00615F7F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</w:p>
    <w:p w14:paraId="72804B91" w14:textId="77777777" w:rsidR="00615F7F" w:rsidRPr="006C7361" w:rsidRDefault="00615F7F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lastRenderedPageBreak/>
        <w:t>Funds and employers have been proactive in mitigating their risk. Most of the respondents said they had upgraded security software and increased security procedures, whil</w:t>
      </w:r>
      <w:r w:rsidR="006823E8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e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only about 13% of stand</w:t>
      </w:r>
      <w:r w:rsidR="006B16B8">
        <w:rPr>
          <w:rStyle w:val="normaltextrun"/>
          <w:rFonts w:eastAsia="Arial" w:cstheme="minorHAnsi"/>
          <w:color w:val="000000" w:themeColor="text1"/>
          <w:lang w:val="en-US" w:eastAsia="en-ZA"/>
        </w:rPr>
        <w:t>-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alone funds and only a small portion of participating employers of umbrella funds </w:t>
      </w:r>
      <w:r w:rsidR="006823E8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had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purchased cyber insurance. </w:t>
      </w:r>
      <w:r w:rsidR="000F0CDF">
        <w:rPr>
          <w:rStyle w:val="normaltextrun"/>
          <w:rFonts w:eastAsia="Arial" w:cstheme="minorHAnsi"/>
          <w:color w:val="000000" w:themeColor="text1"/>
          <w:lang w:val="en-US" w:eastAsia="en-ZA"/>
        </w:rPr>
        <w:t>It is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expect</w:t>
      </w:r>
      <w:r w:rsidR="000F0CDF">
        <w:rPr>
          <w:rStyle w:val="normaltextrun"/>
          <w:rFonts w:eastAsia="Arial" w:cstheme="minorHAnsi"/>
          <w:color w:val="000000" w:themeColor="text1"/>
          <w:lang w:val="en-US" w:eastAsia="en-ZA"/>
        </w:rPr>
        <w:t>ed</w:t>
      </w:r>
      <w:r w:rsidR="006823E8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that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this number </w:t>
      </w:r>
      <w:r w:rsidR="006823E8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will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grow in the future</w:t>
      </w:r>
      <w:r w:rsidR="00A42065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</w:t>
      </w:r>
      <w:r w:rsidR="009409D6">
        <w:rPr>
          <w:rStyle w:val="normaltextrun"/>
          <w:rFonts w:eastAsia="Arial" w:cstheme="minorHAnsi"/>
          <w:color w:val="000000" w:themeColor="text1"/>
          <w:lang w:val="en-US" w:eastAsia="en-ZA"/>
        </w:rPr>
        <w:t>given</w:t>
      </w:r>
      <w:r w:rsidR="00A93EB6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the </w:t>
      </w:r>
      <w:r w:rsidR="007854AB">
        <w:t>increasing prevalence of hackers targeting companies’ customer and client data</w:t>
      </w:r>
      <w:r w:rsidR="007854AB">
        <w:rPr>
          <w:rStyle w:val="normaltextrun"/>
          <w:rFonts w:eastAsia="Arial" w:cstheme="minorHAnsi"/>
          <w:color w:val="000000" w:themeColor="text1"/>
          <w:lang w:val="en-US" w:eastAsia="en-ZA"/>
        </w:rPr>
        <w:t>.</w:t>
      </w:r>
    </w:p>
    <w:p w14:paraId="3EDFEF2A" w14:textId="77777777" w:rsidR="00615F7F" w:rsidRPr="006C7361" w:rsidRDefault="00615F7F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</w:p>
    <w:p w14:paraId="2FE6F0E8" w14:textId="77777777" w:rsidR="00A2427B" w:rsidRPr="006C7361" w:rsidRDefault="00A2427B" w:rsidP="003A0057">
      <w:pPr>
        <w:spacing w:after="0" w:line="360" w:lineRule="auto"/>
        <w:rPr>
          <w:rStyle w:val="normaltextrun"/>
          <w:rFonts w:eastAsia="Arial" w:cstheme="minorHAnsi"/>
          <w:b/>
          <w:bCs/>
          <w:color w:val="000000" w:themeColor="text1"/>
          <w:lang w:val="en-US" w:eastAsia="en-ZA"/>
        </w:rPr>
      </w:pPr>
      <w:r w:rsidRPr="006C7361">
        <w:rPr>
          <w:rStyle w:val="normaltextrun"/>
          <w:rFonts w:eastAsia="Arial" w:cstheme="minorHAnsi"/>
          <w:b/>
          <w:bCs/>
          <w:color w:val="000000" w:themeColor="text1"/>
          <w:lang w:val="en-US" w:eastAsia="en-ZA"/>
        </w:rPr>
        <w:t>Fund consolidation</w:t>
      </w:r>
      <w:r w:rsidR="005870D4" w:rsidRPr="006C7361">
        <w:rPr>
          <w:rStyle w:val="normaltextrun"/>
          <w:rFonts w:eastAsia="Arial" w:cstheme="minorHAnsi"/>
          <w:b/>
          <w:bCs/>
          <w:color w:val="000000" w:themeColor="text1"/>
          <w:lang w:val="en-US" w:eastAsia="en-ZA"/>
        </w:rPr>
        <w:t xml:space="preserve"> </w:t>
      </w:r>
      <w:proofErr w:type="gramStart"/>
      <w:r w:rsidR="005870D4" w:rsidRPr="006C7361">
        <w:rPr>
          <w:rStyle w:val="normaltextrun"/>
          <w:rFonts w:eastAsia="Arial" w:cstheme="minorHAnsi"/>
          <w:b/>
          <w:bCs/>
          <w:color w:val="000000" w:themeColor="text1"/>
          <w:lang w:val="en-US" w:eastAsia="en-ZA"/>
        </w:rPr>
        <w:t>accelerates</w:t>
      </w:r>
      <w:proofErr w:type="gramEnd"/>
    </w:p>
    <w:p w14:paraId="49B4B52B" w14:textId="77777777" w:rsidR="00A2427B" w:rsidRPr="006C7361" w:rsidRDefault="00A2427B" w:rsidP="003A0057">
      <w:pPr>
        <w:spacing w:after="0" w:line="360" w:lineRule="auto"/>
        <w:rPr>
          <w:rFonts w:cstheme="minorHAnsi"/>
        </w:rPr>
      </w:pPr>
      <w:r w:rsidRPr="006C7361">
        <w:rPr>
          <w:rFonts w:cstheme="minorHAnsi"/>
          <w:lang w:val="en-US"/>
        </w:rPr>
        <w:t>The consolidation of stand</w:t>
      </w:r>
      <w:r w:rsidR="00DA6C06">
        <w:rPr>
          <w:rFonts w:cstheme="minorHAnsi"/>
          <w:lang w:val="en-US"/>
        </w:rPr>
        <w:t>-</w:t>
      </w:r>
      <w:r w:rsidRPr="006C7361">
        <w:rPr>
          <w:rFonts w:cstheme="minorHAnsi"/>
          <w:lang w:val="en-US"/>
        </w:rPr>
        <w:t xml:space="preserve">alone funds into umbrella funds accelerated during the pandemic with the FSCA </w:t>
      </w:r>
      <w:r w:rsidR="00A93EB6">
        <w:rPr>
          <w:rFonts w:cstheme="minorHAnsi"/>
          <w:lang w:val="en-US"/>
        </w:rPr>
        <w:t>reporting</w:t>
      </w:r>
      <w:r w:rsidR="00A93EB6" w:rsidRPr="006C7361">
        <w:rPr>
          <w:rFonts w:cstheme="minorHAnsi"/>
          <w:lang w:val="en-US"/>
        </w:rPr>
        <w:t xml:space="preserve"> </w:t>
      </w:r>
      <w:r w:rsidRPr="006C7361">
        <w:rPr>
          <w:rFonts w:cstheme="minorHAnsi"/>
          <w:lang w:val="en-US"/>
        </w:rPr>
        <w:t xml:space="preserve">1 500 active registered funds in 2020, well down from the over 16 000 in the early </w:t>
      </w:r>
      <w:r w:rsidR="00D22338">
        <w:rPr>
          <w:rFonts w:cstheme="minorHAnsi"/>
          <w:lang w:val="en-US"/>
        </w:rPr>
        <w:t>19</w:t>
      </w:r>
      <w:r w:rsidRPr="006C7361">
        <w:rPr>
          <w:rFonts w:cstheme="minorHAnsi"/>
          <w:lang w:val="en-US"/>
        </w:rPr>
        <w:t>90s.</w:t>
      </w:r>
    </w:p>
    <w:p w14:paraId="34971800" w14:textId="77777777" w:rsidR="00887A75" w:rsidRPr="006C7361" w:rsidRDefault="00887A75" w:rsidP="003A0057">
      <w:pPr>
        <w:spacing w:after="0" w:line="360" w:lineRule="auto"/>
        <w:rPr>
          <w:rFonts w:cstheme="minorHAnsi"/>
          <w:b/>
        </w:rPr>
      </w:pPr>
    </w:p>
    <w:p w14:paraId="238088A0" w14:textId="77777777" w:rsidR="00887A75" w:rsidRPr="006C7361" w:rsidRDefault="005870D4" w:rsidP="003A0057">
      <w:pPr>
        <w:spacing w:after="0" w:line="360" w:lineRule="auto"/>
        <w:rPr>
          <w:rFonts w:cstheme="minorHAnsi"/>
          <w:b/>
        </w:rPr>
      </w:pPr>
      <w:r w:rsidRPr="006C7361">
        <w:rPr>
          <w:rFonts w:cstheme="minorHAnsi"/>
          <w:b/>
        </w:rPr>
        <w:t>Improved advice from d</w:t>
      </w:r>
      <w:r w:rsidR="00C75694" w:rsidRPr="006C7361">
        <w:rPr>
          <w:rFonts w:cstheme="minorHAnsi"/>
          <w:b/>
        </w:rPr>
        <w:t xml:space="preserve">efault </w:t>
      </w:r>
      <w:r w:rsidRPr="006C7361">
        <w:rPr>
          <w:rFonts w:cstheme="minorHAnsi"/>
          <w:b/>
        </w:rPr>
        <w:t>r</w:t>
      </w:r>
      <w:r w:rsidR="00C75694" w:rsidRPr="006C7361">
        <w:rPr>
          <w:rFonts w:cstheme="minorHAnsi"/>
          <w:b/>
        </w:rPr>
        <w:t>egulations</w:t>
      </w:r>
    </w:p>
    <w:p w14:paraId="150626B0" w14:textId="77777777" w:rsidR="00C75694" w:rsidRPr="006C7361" w:rsidRDefault="00C75694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One of the key intentions of the </w:t>
      </w:r>
      <w:r w:rsidR="00F754E5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d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efault </w:t>
      </w:r>
      <w:r w:rsidR="00F754E5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r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egulations </w:t>
      </w:r>
      <w:r w:rsidR="00F754E5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introduced in 2019 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was to improve retirement outcomes for members</w:t>
      </w:r>
      <w:r w:rsidR="00A93EB6">
        <w:rPr>
          <w:rStyle w:val="normaltextrun"/>
          <w:rFonts w:eastAsia="Arial" w:cstheme="minorHAnsi"/>
          <w:color w:val="000000" w:themeColor="text1"/>
          <w:lang w:val="en-US" w:eastAsia="en-ZA"/>
        </w:rPr>
        <w:t>.</w:t>
      </w:r>
      <w:r w:rsidR="00C532F8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A lot of work has been done in the industry to </w:t>
      </w:r>
      <w:proofErr w:type="spellStart"/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minimise</w:t>
      </w:r>
      <w:proofErr w:type="spellEnd"/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the risk to members.  </w:t>
      </w:r>
      <w:r w:rsidR="00346E71">
        <w:rPr>
          <w:rStyle w:val="normaltextrun"/>
          <w:rFonts w:eastAsia="Arial" w:cstheme="minorHAnsi"/>
          <w:color w:val="000000" w:themeColor="text1"/>
          <w:lang w:val="en-US" w:eastAsia="en-ZA"/>
        </w:rPr>
        <w:t>D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efault regulations play a key role by focusing on default investment strategies, default preservation, annuity strategies and counselling on retirement benefits to improve member outcomes and </w:t>
      </w:r>
      <w:proofErr w:type="spellStart"/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behaviours</w:t>
      </w:r>
      <w:proofErr w:type="spellEnd"/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.</w:t>
      </w:r>
    </w:p>
    <w:p w14:paraId="2806E922" w14:textId="77777777" w:rsidR="00C75694" w:rsidRPr="006C7361" w:rsidRDefault="00C75694" w:rsidP="003A0057">
      <w:pPr>
        <w:spacing w:after="0" w:line="360" w:lineRule="auto"/>
        <w:rPr>
          <w:rFonts w:cstheme="minorHAnsi"/>
          <w:b/>
        </w:rPr>
      </w:pPr>
    </w:p>
    <w:p w14:paraId="2C2A83DC" w14:textId="77777777" w:rsidR="00A93EB6" w:rsidRPr="006C7361" w:rsidRDefault="00A93EB6" w:rsidP="003A0057">
      <w:pPr>
        <w:spacing w:after="0" w:line="360" w:lineRule="auto"/>
        <w:rPr>
          <w:rFonts w:cstheme="minorHAnsi"/>
        </w:rPr>
      </w:pPr>
      <w:r w:rsidRPr="006C7361">
        <w:rPr>
          <w:rFonts w:cstheme="minorHAnsi"/>
          <w:lang w:val="en-US"/>
        </w:rPr>
        <w:t>At 94%, it is safe to say almost all stand</w:t>
      </w:r>
      <w:r>
        <w:rPr>
          <w:rFonts w:cstheme="minorHAnsi"/>
          <w:lang w:val="en-US"/>
        </w:rPr>
        <w:t>-</w:t>
      </w:r>
      <w:r w:rsidRPr="006C7361">
        <w:rPr>
          <w:rFonts w:cstheme="minorHAnsi"/>
          <w:lang w:val="en-US"/>
        </w:rPr>
        <w:t xml:space="preserve">alone funds </w:t>
      </w:r>
      <w:r w:rsidR="002D5493">
        <w:rPr>
          <w:rFonts w:cstheme="minorHAnsi"/>
          <w:lang w:val="en-US"/>
        </w:rPr>
        <w:t>had</w:t>
      </w:r>
      <w:r w:rsidRPr="006C7361">
        <w:rPr>
          <w:rFonts w:cstheme="minorHAnsi"/>
          <w:lang w:val="en-US"/>
        </w:rPr>
        <w:t xml:space="preserve"> trustee endorsed strategies in place; among umbrella sub funds, a slightly smaller proportion</w:t>
      </w:r>
      <w:r>
        <w:rPr>
          <w:rFonts w:cstheme="minorHAnsi"/>
          <w:lang w:val="en-US"/>
        </w:rPr>
        <w:t xml:space="preserve"> (</w:t>
      </w:r>
      <w:r w:rsidRPr="006C7361">
        <w:rPr>
          <w:rFonts w:cstheme="minorHAnsi"/>
          <w:lang w:val="en-US"/>
        </w:rPr>
        <w:t>85%</w:t>
      </w:r>
      <w:r>
        <w:rPr>
          <w:rFonts w:cstheme="minorHAnsi"/>
          <w:lang w:val="en-US"/>
        </w:rPr>
        <w:t>)</w:t>
      </w:r>
      <w:r w:rsidRPr="006C7361">
        <w:rPr>
          <w:rFonts w:cstheme="minorHAnsi"/>
          <w:lang w:val="en-US"/>
        </w:rPr>
        <w:t xml:space="preserve"> </w:t>
      </w:r>
      <w:r w:rsidR="008579DA">
        <w:rPr>
          <w:rFonts w:cstheme="minorHAnsi"/>
          <w:lang w:val="en-US"/>
        </w:rPr>
        <w:t>had</w:t>
      </w:r>
      <w:r w:rsidRPr="006C7361">
        <w:rPr>
          <w:rFonts w:cstheme="minorHAnsi"/>
          <w:lang w:val="en-US"/>
        </w:rPr>
        <w:t xml:space="preserve"> such strategies.  It </w:t>
      </w:r>
      <w:r w:rsidR="002D5493">
        <w:rPr>
          <w:rFonts w:cstheme="minorHAnsi"/>
          <w:lang w:val="en-US"/>
        </w:rPr>
        <w:t>was</w:t>
      </w:r>
      <w:r w:rsidRPr="006C7361">
        <w:rPr>
          <w:rFonts w:cstheme="minorHAnsi"/>
          <w:lang w:val="en-US"/>
        </w:rPr>
        <w:t xml:space="preserve"> surprising that</w:t>
      </w:r>
      <w:r>
        <w:rPr>
          <w:rFonts w:cstheme="minorHAnsi"/>
          <w:lang w:val="en-US"/>
        </w:rPr>
        <w:t xml:space="preserve"> there </w:t>
      </w:r>
      <w:r w:rsidR="002D5493">
        <w:rPr>
          <w:rFonts w:cstheme="minorHAnsi"/>
          <w:lang w:val="en-US"/>
        </w:rPr>
        <w:t>were</w:t>
      </w:r>
      <w:r>
        <w:rPr>
          <w:rFonts w:cstheme="minorHAnsi"/>
          <w:lang w:val="en-US"/>
        </w:rPr>
        <w:t xml:space="preserve"> funds that reported not having </w:t>
      </w:r>
      <w:r w:rsidRPr="006C7361">
        <w:rPr>
          <w:rFonts w:cstheme="minorHAnsi"/>
          <w:lang w:val="en-US"/>
        </w:rPr>
        <w:t>such strategies given that legislation requires trustee-endorsed strategies to be in place.</w:t>
      </w:r>
    </w:p>
    <w:p w14:paraId="761165D6" w14:textId="77777777" w:rsidR="00B02738" w:rsidRPr="006C7361" w:rsidRDefault="00B02738" w:rsidP="003A0057">
      <w:pPr>
        <w:spacing w:after="0" w:line="360" w:lineRule="auto"/>
        <w:rPr>
          <w:rFonts w:cstheme="minorHAnsi"/>
          <w:b/>
        </w:rPr>
      </w:pPr>
    </w:p>
    <w:p w14:paraId="147CB78F" w14:textId="77777777" w:rsidR="00C75694" w:rsidRPr="006C7361" w:rsidRDefault="00C75694" w:rsidP="003A0057">
      <w:pPr>
        <w:spacing w:after="0" w:line="360" w:lineRule="auto"/>
        <w:rPr>
          <w:rFonts w:cstheme="minorHAnsi"/>
          <w:b/>
        </w:rPr>
      </w:pPr>
      <w:r w:rsidRPr="006C7361">
        <w:rPr>
          <w:rFonts w:cstheme="minorHAnsi"/>
          <w:b/>
        </w:rPr>
        <w:t>Regulation 28 amendments</w:t>
      </w:r>
    </w:p>
    <w:p w14:paraId="0F9AA352" w14:textId="77777777" w:rsidR="00C75694" w:rsidRPr="006C7361" w:rsidRDefault="00C75694" w:rsidP="003A0057">
      <w:pPr>
        <w:spacing w:after="0" w:line="360" w:lineRule="auto"/>
        <w:rPr>
          <w:rStyle w:val="normaltextrun"/>
          <w:rFonts w:eastAsia="Arial" w:cstheme="minorHAnsi"/>
          <w:color w:val="000000" w:themeColor="text1"/>
          <w:lang w:val="en-US" w:eastAsia="en-ZA"/>
        </w:rPr>
      </w:pP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Over the years</w:t>
      </w:r>
      <w:r w:rsidR="00075BF0">
        <w:rPr>
          <w:rStyle w:val="normaltextrun"/>
          <w:rFonts w:eastAsia="Arial" w:cstheme="minorHAnsi"/>
          <w:color w:val="000000" w:themeColor="text1"/>
          <w:lang w:val="en-US" w:eastAsia="en-ZA"/>
        </w:rPr>
        <w:t>,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</w:t>
      </w:r>
      <w:r w:rsidR="00F754E5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the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research covered some of the broader investment themes, namely </w:t>
      </w:r>
      <w:r w:rsidR="00F754E5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R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egulation 28, transformation</w:t>
      </w:r>
      <w:r w:rsidR="00F754E5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and ESG.  </w:t>
      </w:r>
      <w:r w:rsidR="00F754E5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>The Benchmark</w:t>
      </w:r>
      <w:r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 research looked at attitudes to infrastructure investments</w:t>
      </w:r>
      <w:r w:rsidR="00F754E5" w:rsidRPr="006C7361">
        <w:rPr>
          <w:rStyle w:val="normaltextrun"/>
          <w:rFonts w:eastAsia="Arial" w:cstheme="minorHAnsi"/>
          <w:color w:val="000000" w:themeColor="text1"/>
          <w:lang w:val="en-US" w:eastAsia="en-ZA"/>
        </w:rPr>
        <w:t xml:space="preserve">. </w:t>
      </w:r>
      <w:r w:rsidR="004D19A5" w:rsidRPr="006C7361">
        <w:rPr>
          <w:rFonts w:cstheme="minorHAnsi"/>
        </w:rPr>
        <w:t>Stand</w:t>
      </w:r>
      <w:r w:rsidR="006B16B8">
        <w:rPr>
          <w:rFonts w:cstheme="minorHAnsi"/>
        </w:rPr>
        <w:t>-</w:t>
      </w:r>
      <w:r w:rsidR="004D19A5" w:rsidRPr="006C7361">
        <w:rPr>
          <w:rFonts w:cstheme="minorHAnsi"/>
        </w:rPr>
        <w:t>alone retirement funds anticipate</w:t>
      </w:r>
      <w:r w:rsidR="00A5086A" w:rsidRPr="006C7361">
        <w:rPr>
          <w:rFonts w:cstheme="minorHAnsi"/>
        </w:rPr>
        <w:t>d</w:t>
      </w:r>
      <w:r w:rsidR="004D19A5" w:rsidRPr="006C7361">
        <w:rPr>
          <w:rFonts w:cstheme="minorHAnsi"/>
        </w:rPr>
        <w:t xml:space="preserve"> investing 6.6% of their assets, on average, in infrastructure while </w:t>
      </w:r>
      <w:r w:rsidR="002D5493">
        <w:rPr>
          <w:rFonts w:cstheme="minorHAnsi"/>
        </w:rPr>
        <w:t>U</w:t>
      </w:r>
      <w:r w:rsidR="004D19A5" w:rsidRPr="006C7361">
        <w:rPr>
          <w:rFonts w:cstheme="minorHAnsi"/>
        </w:rPr>
        <w:t xml:space="preserve">mbrella Funds anticipated only 4.7%. </w:t>
      </w:r>
    </w:p>
    <w:p w14:paraId="3A78475F" w14:textId="77777777" w:rsidR="00A5086A" w:rsidRPr="006C7361" w:rsidRDefault="00A5086A" w:rsidP="003A0057">
      <w:pPr>
        <w:spacing w:after="0" w:line="360" w:lineRule="auto"/>
        <w:rPr>
          <w:rFonts w:cstheme="minorHAnsi"/>
          <w:bCs/>
        </w:rPr>
      </w:pPr>
    </w:p>
    <w:p w14:paraId="3356E566" w14:textId="77777777" w:rsidR="00C75694" w:rsidRPr="006C7361" w:rsidRDefault="00A5086A" w:rsidP="003A0057">
      <w:pPr>
        <w:spacing w:after="0" w:line="360" w:lineRule="auto"/>
        <w:rPr>
          <w:rFonts w:cstheme="minorHAnsi"/>
        </w:rPr>
      </w:pPr>
      <w:r w:rsidRPr="006C7361">
        <w:rPr>
          <w:rFonts w:cstheme="minorHAnsi"/>
          <w:bCs/>
        </w:rPr>
        <w:t>Mkhize says that t</w:t>
      </w:r>
      <w:r w:rsidR="004D19A5" w:rsidRPr="006C7361">
        <w:rPr>
          <w:rFonts w:cstheme="minorHAnsi"/>
        </w:rPr>
        <w:t>he 2021 Benchmark research has captured the ongoing trends in the industry</w:t>
      </w:r>
      <w:r w:rsidR="00075BF0">
        <w:rPr>
          <w:rFonts w:cstheme="minorHAnsi"/>
        </w:rPr>
        <w:t>,</w:t>
      </w:r>
      <w:r w:rsidR="004D19A5" w:rsidRPr="006C7361">
        <w:rPr>
          <w:rFonts w:cstheme="minorHAnsi"/>
        </w:rPr>
        <w:t xml:space="preserve"> along with the </w:t>
      </w:r>
      <w:r w:rsidR="00DD7FDD" w:rsidRPr="006C7361">
        <w:rPr>
          <w:rFonts w:cstheme="minorHAnsi"/>
        </w:rPr>
        <w:t xml:space="preserve">real impact of the pandemic on the lives and livelihoods of members. </w:t>
      </w:r>
      <w:r w:rsidRPr="006C7361">
        <w:rPr>
          <w:rFonts w:cstheme="minorHAnsi"/>
        </w:rPr>
        <w:t>“</w:t>
      </w:r>
      <w:r w:rsidR="00830EE2">
        <w:rPr>
          <w:rFonts w:cstheme="minorHAnsi"/>
        </w:rPr>
        <w:t>It</w:t>
      </w:r>
      <w:r w:rsidR="00DD7FDD" w:rsidRPr="006C7361">
        <w:rPr>
          <w:rFonts w:cstheme="minorHAnsi"/>
        </w:rPr>
        <w:t xml:space="preserve"> may be too soon to tell if these changes will have a lasting impact,</w:t>
      </w:r>
      <w:r w:rsidR="00830EE2">
        <w:rPr>
          <w:rFonts w:cstheme="minorHAnsi"/>
        </w:rPr>
        <w:t xml:space="preserve"> but these insights allow us to reflect and build on as </w:t>
      </w:r>
      <w:r w:rsidR="00C532F8">
        <w:rPr>
          <w:rFonts w:cstheme="minorHAnsi"/>
        </w:rPr>
        <w:t xml:space="preserve">the </w:t>
      </w:r>
      <w:r w:rsidR="00830EE2">
        <w:rPr>
          <w:rFonts w:cstheme="minorHAnsi"/>
        </w:rPr>
        <w:t>industry evolve</w:t>
      </w:r>
      <w:r w:rsidR="007B5E43">
        <w:rPr>
          <w:rFonts w:cstheme="minorHAnsi"/>
        </w:rPr>
        <w:t>s</w:t>
      </w:r>
      <w:r w:rsidR="00DD7FDD" w:rsidRPr="006C7361">
        <w:rPr>
          <w:rFonts w:cstheme="minorHAnsi"/>
        </w:rPr>
        <w:t>.</w:t>
      </w:r>
      <w:r w:rsidRPr="006C7361">
        <w:rPr>
          <w:rFonts w:cstheme="minorHAnsi"/>
        </w:rPr>
        <w:t>”</w:t>
      </w:r>
    </w:p>
    <w:p w14:paraId="27AB4463" w14:textId="77777777" w:rsidR="00980685" w:rsidRPr="006C7361" w:rsidRDefault="00980685" w:rsidP="003A0057">
      <w:pPr>
        <w:spacing w:after="0" w:line="360" w:lineRule="auto"/>
        <w:rPr>
          <w:rFonts w:cstheme="minorHAnsi"/>
          <w:b/>
        </w:rPr>
      </w:pPr>
    </w:p>
    <w:p w14:paraId="706B44A2" w14:textId="77777777" w:rsidR="00DD7FDD" w:rsidRPr="006C7361" w:rsidRDefault="00DD7FDD" w:rsidP="003A0057">
      <w:pPr>
        <w:spacing w:after="0" w:line="360" w:lineRule="auto"/>
        <w:rPr>
          <w:rStyle w:val="Hyperlink"/>
          <w:rFonts w:cstheme="minorHAnsi"/>
          <w:i/>
        </w:rPr>
      </w:pPr>
      <w:r w:rsidRPr="006C7361">
        <w:rPr>
          <w:rFonts w:cstheme="minorHAnsi"/>
          <w:i/>
        </w:rPr>
        <w:lastRenderedPageBreak/>
        <w:t xml:space="preserve">For more information on the Sanlam Benchmark, please visit </w:t>
      </w:r>
      <w:hyperlink r:id="rId6" w:history="1">
        <w:r w:rsidRPr="006C7361">
          <w:rPr>
            <w:rStyle w:val="Hyperlink"/>
            <w:rFonts w:cstheme="minorHAnsi"/>
            <w:i/>
          </w:rPr>
          <w:t>www.sanlambenchmark.co.za</w:t>
        </w:r>
      </w:hyperlink>
    </w:p>
    <w:p w14:paraId="5E34DD4E" w14:textId="77777777" w:rsidR="00B71229" w:rsidRPr="006C7361" w:rsidRDefault="00B71229" w:rsidP="003A0057">
      <w:pPr>
        <w:spacing w:after="0" w:line="360" w:lineRule="auto"/>
        <w:rPr>
          <w:rStyle w:val="Hyperlink"/>
          <w:rFonts w:cstheme="minorHAnsi"/>
          <w:i/>
        </w:rPr>
      </w:pPr>
    </w:p>
    <w:p w14:paraId="2D1AED40" w14:textId="77777777" w:rsidR="00980685" w:rsidRPr="006C7361" w:rsidRDefault="00980685" w:rsidP="003A0057">
      <w:pPr>
        <w:spacing w:after="0" w:line="360" w:lineRule="auto"/>
        <w:rPr>
          <w:rFonts w:cstheme="minorHAnsi"/>
          <w:b/>
        </w:rPr>
      </w:pPr>
      <w:r w:rsidRPr="006C7361">
        <w:rPr>
          <w:rFonts w:cstheme="minorHAnsi"/>
          <w:b/>
        </w:rPr>
        <w:t>ENDS</w:t>
      </w:r>
    </w:p>
    <w:p w14:paraId="7D0C8A03" w14:textId="77777777" w:rsidR="00B71229" w:rsidRPr="006C7361" w:rsidRDefault="00B71229" w:rsidP="003A0057">
      <w:pPr>
        <w:spacing w:after="0" w:line="360" w:lineRule="auto"/>
        <w:jc w:val="both"/>
        <w:rPr>
          <w:rStyle w:val="Hyperlink"/>
          <w:rFonts w:cstheme="minorHAnsi"/>
          <w:i/>
        </w:rPr>
      </w:pPr>
    </w:p>
    <w:sectPr w:rsidR="00B71229" w:rsidRPr="006C7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C618A"/>
    <w:multiLevelType w:val="hybridMultilevel"/>
    <w:tmpl w:val="8DDA74A0"/>
    <w:lvl w:ilvl="0" w:tplc="88BC0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EF882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242E5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6C02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F6C85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074C6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CE4F5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5FE0E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3FE7B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2C062CB"/>
    <w:multiLevelType w:val="hybridMultilevel"/>
    <w:tmpl w:val="A46E7B2E"/>
    <w:lvl w:ilvl="0" w:tplc="26EA3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86C"/>
    <w:multiLevelType w:val="hybridMultilevel"/>
    <w:tmpl w:val="BEF8ACC0"/>
    <w:lvl w:ilvl="0" w:tplc="B7F4B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26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CF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743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60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44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23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20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CE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653E95"/>
    <w:multiLevelType w:val="hybridMultilevel"/>
    <w:tmpl w:val="394EBD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04F02"/>
    <w:multiLevelType w:val="hybridMultilevel"/>
    <w:tmpl w:val="8F32F85A"/>
    <w:lvl w:ilvl="0" w:tplc="450A0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6F26D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D4EBA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D6E8A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3B0C1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C12E5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3909C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9DE72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68A0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31507BB4"/>
    <w:multiLevelType w:val="hybridMultilevel"/>
    <w:tmpl w:val="1272FF1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74E8B"/>
    <w:multiLevelType w:val="hybridMultilevel"/>
    <w:tmpl w:val="CEBC8378"/>
    <w:lvl w:ilvl="0" w:tplc="26EA3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417EF"/>
    <w:multiLevelType w:val="hybridMultilevel"/>
    <w:tmpl w:val="A46E7B2E"/>
    <w:lvl w:ilvl="0" w:tplc="26EA30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40F8E"/>
    <w:multiLevelType w:val="hybridMultilevel"/>
    <w:tmpl w:val="A46E7B2E"/>
    <w:lvl w:ilvl="0" w:tplc="26EA3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F24A0"/>
    <w:multiLevelType w:val="hybridMultilevel"/>
    <w:tmpl w:val="130CFD7C"/>
    <w:lvl w:ilvl="0" w:tplc="242ACEAC">
      <w:start w:val="1"/>
      <w:numFmt w:val="decimal"/>
      <w:lvlText w:val="%1."/>
      <w:lvlJc w:val="left"/>
      <w:pPr>
        <w:ind w:left="1130" w:hanging="77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F4A8B"/>
    <w:multiLevelType w:val="hybridMultilevel"/>
    <w:tmpl w:val="E2768E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F1"/>
    <w:rsid w:val="00026323"/>
    <w:rsid w:val="00031D09"/>
    <w:rsid w:val="000434D1"/>
    <w:rsid w:val="00075BF0"/>
    <w:rsid w:val="00091430"/>
    <w:rsid w:val="00093B05"/>
    <w:rsid w:val="000A75BC"/>
    <w:rsid w:val="000D3C0D"/>
    <w:rsid w:val="000E37B8"/>
    <w:rsid w:val="000F0CDF"/>
    <w:rsid w:val="000F15A0"/>
    <w:rsid w:val="000F3056"/>
    <w:rsid w:val="000F67DA"/>
    <w:rsid w:val="00112E95"/>
    <w:rsid w:val="001169B2"/>
    <w:rsid w:val="001253AB"/>
    <w:rsid w:val="0015559D"/>
    <w:rsid w:val="0017182F"/>
    <w:rsid w:val="00176A40"/>
    <w:rsid w:val="00191A04"/>
    <w:rsid w:val="001B2BFF"/>
    <w:rsid w:val="001C251D"/>
    <w:rsid w:val="00242419"/>
    <w:rsid w:val="00254540"/>
    <w:rsid w:val="002601F7"/>
    <w:rsid w:val="002647CF"/>
    <w:rsid w:val="00275E6E"/>
    <w:rsid w:val="00294F96"/>
    <w:rsid w:val="002A2B85"/>
    <w:rsid w:val="002D5493"/>
    <w:rsid w:val="002F620C"/>
    <w:rsid w:val="0032544B"/>
    <w:rsid w:val="003352C6"/>
    <w:rsid w:val="00346E71"/>
    <w:rsid w:val="00354C81"/>
    <w:rsid w:val="00362374"/>
    <w:rsid w:val="003A0057"/>
    <w:rsid w:val="003C0B07"/>
    <w:rsid w:val="003D0F7F"/>
    <w:rsid w:val="003D56BE"/>
    <w:rsid w:val="003F4FCC"/>
    <w:rsid w:val="0040231D"/>
    <w:rsid w:val="004028D5"/>
    <w:rsid w:val="00432C37"/>
    <w:rsid w:val="0044598A"/>
    <w:rsid w:val="00470AD7"/>
    <w:rsid w:val="00481A0E"/>
    <w:rsid w:val="004D19A5"/>
    <w:rsid w:val="0050740C"/>
    <w:rsid w:val="00524523"/>
    <w:rsid w:val="0052510A"/>
    <w:rsid w:val="005437BB"/>
    <w:rsid w:val="005870D4"/>
    <w:rsid w:val="00590B7C"/>
    <w:rsid w:val="005A3958"/>
    <w:rsid w:val="005B237D"/>
    <w:rsid w:val="005E5EE4"/>
    <w:rsid w:val="005E7DB7"/>
    <w:rsid w:val="00615F7F"/>
    <w:rsid w:val="006345D5"/>
    <w:rsid w:val="00672A0D"/>
    <w:rsid w:val="00681C99"/>
    <w:rsid w:val="006823E8"/>
    <w:rsid w:val="006B16B8"/>
    <w:rsid w:val="006C17F1"/>
    <w:rsid w:val="006C7361"/>
    <w:rsid w:val="006D7AF1"/>
    <w:rsid w:val="006E317D"/>
    <w:rsid w:val="006E7EC7"/>
    <w:rsid w:val="006F5E40"/>
    <w:rsid w:val="007714EE"/>
    <w:rsid w:val="00772AE6"/>
    <w:rsid w:val="00774C6D"/>
    <w:rsid w:val="0077787D"/>
    <w:rsid w:val="007854AB"/>
    <w:rsid w:val="007B5E43"/>
    <w:rsid w:val="00830EE2"/>
    <w:rsid w:val="00844C7E"/>
    <w:rsid w:val="008477FE"/>
    <w:rsid w:val="008579DA"/>
    <w:rsid w:val="00877C84"/>
    <w:rsid w:val="00887A75"/>
    <w:rsid w:val="008909AD"/>
    <w:rsid w:val="00891F29"/>
    <w:rsid w:val="008A2711"/>
    <w:rsid w:val="008D4065"/>
    <w:rsid w:val="008F2AA1"/>
    <w:rsid w:val="00904708"/>
    <w:rsid w:val="009128DA"/>
    <w:rsid w:val="009145F0"/>
    <w:rsid w:val="00931E8A"/>
    <w:rsid w:val="009409D6"/>
    <w:rsid w:val="00951E18"/>
    <w:rsid w:val="00965D6C"/>
    <w:rsid w:val="00972539"/>
    <w:rsid w:val="00980685"/>
    <w:rsid w:val="009B78F4"/>
    <w:rsid w:val="009C7F67"/>
    <w:rsid w:val="00A20440"/>
    <w:rsid w:val="00A2427B"/>
    <w:rsid w:val="00A25F9E"/>
    <w:rsid w:val="00A322B8"/>
    <w:rsid w:val="00A42065"/>
    <w:rsid w:val="00A5086A"/>
    <w:rsid w:val="00A54423"/>
    <w:rsid w:val="00A93EB6"/>
    <w:rsid w:val="00AC0693"/>
    <w:rsid w:val="00B02738"/>
    <w:rsid w:val="00B16547"/>
    <w:rsid w:val="00B3215D"/>
    <w:rsid w:val="00B45F6E"/>
    <w:rsid w:val="00B6746C"/>
    <w:rsid w:val="00B71229"/>
    <w:rsid w:val="00B73F95"/>
    <w:rsid w:val="00B75B49"/>
    <w:rsid w:val="00BC3348"/>
    <w:rsid w:val="00BD72FB"/>
    <w:rsid w:val="00C00203"/>
    <w:rsid w:val="00C2462C"/>
    <w:rsid w:val="00C43305"/>
    <w:rsid w:val="00C532F8"/>
    <w:rsid w:val="00C56F94"/>
    <w:rsid w:val="00C570AA"/>
    <w:rsid w:val="00C75694"/>
    <w:rsid w:val="00C93637"/>
    <w:rsid w:val="00CA285B"/>
    <w:rsid w:val="00CD2E82"/>
    <w:rsid w:val="00D22338"/>
    <w:rsid w:val="00D42112"/>
    <w:rsid w:val="00D67F64"/>
    <w:rsid w:val="00D920AC"/>
    <w:rsid w:val="00DA6C06"/>
    <w:rsid w:val="00DD7B3A"/>
    <w:rsid w:val="00DD7FDD"/>
    <w:rsid w:val="00E2154C"/>
    <w:rsid w:val="00E27C44"/>
    <w:rsid w:val="00E45B8D"/>
    <w:rsid w:val="00E62166"/>
    <w:rsid w:val="00EC4BBA"/>
    <w:rsid w:val="00ED4A6B"/>
    <w:rsid w:val="00EF2D20"/>
    <w:rsid w:val="00F00832"/>
    <w:rsid w:val="00F15B7F"/>
    <w:rsid w:val="00F46A2F"/>
    <w:rsid w:val="00F754E5"/>
    <w:rsid w:val="00F8142D"/>
    <w:rsid w:val="00FB606A"/>
    <w:rsid w:val="00FC6CAA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828A1E"/>
  <w15:chartTrackingRefBased/>
  <w15:docId w15:val="{0EDFA655-3FA3-45E4-8949-DB5E4857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D7AF1"/>
  </w:style>
  <w:style w:type="character" w:styleId="Hyperlink">
    <w:name w:val="Hyperlink"/>
    <w:basedOn w:val="DefaultParagraphFont"/>
    <w:uiPriority w:val="99"/>
    <w:unhideWhenUsed/>
    <w:rsid w:val="00774C6D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887A75"/>
  </w:style>
  <w:style w:type="paragraph" w:styleId="CommentText">
    <w:name w:val="annotation text"/>
    <w:basedOn w:val="Normal"/>
    <w:link w:val="CommentTextChar"/>
    <w:uiPriority w:val="99"/>
    <w:semiHidden/>
    <w:unhideWhenUsed/>
    <w:rsid w:val="00C75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69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569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9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83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1229"/>
    <w:pPr>
      <w:spacing w:after="0" w:line="240" w:lineRule="auto"/>
      <w:ind w:left="720"/>
    </w:pPr>
    <w:rPr>
      <w:rFonts w:ascii="Calibri" w:hAnsi="Calibri" w:cs="Calibri"/>
      <w:lang w:eastAsia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A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lambenchmark.co.za" TargetMode="External"/><Relationship Id="rId5" Type="http://schemas.openxmlformats.org/officeDocument/2006/relationships/hyperlink" Target="https://www.sanlam.co.za/corporate/retirement/benchmarksurvey/Page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Sanlam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Goitse Nkomo (Group Office)</dc:creator>
  <cp:keywords/>
  <dc:description/>
  <cp:lastModifiedBy>Shannon Simon</cp:lastModifiedBy>
  <cp:revision>3</cp:revision>
  <dcterms:created xsi:type="dcterms:W3CDTF">2021-06-21T12:03:00Z</dcterms:created>
  <dcterms:modified xsi:type="dcterms:W3CDTF">2021-06-22T07:20:00Z</dcterms:modified>
</cp:coreProperties>
</file>