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2AAAC" w14:textId="3347CADF" w:rsidR="00A330CC" w:rsidRPr="00A5247C" w:rsidRDefault="00A330CC" w:rsidP="00A5247C">
      <w:pPr>
        <w:pStyle w:val="Subtitle"/>
        <w:jc w:val="center"/>
        <w:rPr>
          <w:rFonts w:ascii="Century Gothic" w:hAnsi="Century Gothic"/>
          <w:b/>
          <w:bCs/>
          <w:i w:val="0"/>
          <w:iCs w:val="0"/>
          <w:color w:val="auto"/>
        </w:rPr>
      </w:pPr>
      <w:r w:rsidRPr="00A5247C">
        <w:rPr>
          <w:rFonts w:ascii="Century Gothic" w:hAnsi="Century Gothic"/>
          <w:b/>
          <w:bCs/>
          <w:i w:val="0"/>
          <w:iCs w:val="0"/>
          <w:color w:val="auto"/>
        </w:rPr>
        <w:t>Officially on the Road to Crypto-Asset Regulation</w:t>
      </w:r>
    </w:p>
    <w:p w14:paraId="1A68CA39" w14:textId="5E5670D5" w:rsidR="00A330CC" w:rsidRPr="00A5247C" w:rsidRDefault="00A5247C" w:rsidP="00A5247C">
      <w:pPr>
        <w:pStyle w:val="WWBodyText"/>
        <w:jc w:val="center"/>
        <w:rPr>
          <w:rFonts w:ascii="Century Gothic" w:hAnsi="Century Gothic"/>
          <w:i/>
          <w:iCs/>
          <w:sz w:val="20"/>
          <w:szCs w:val="20"/>
        </w:rPr>
      </w:pPr>
      <w:r>
        <w:rPr>
          <w:rStyle w:val="SubtleEmphasis"/>
          <w:rFonts w:ascii="Century Gothic" w:hAnsi="Century Gothic"/>
          <w:i w:val="0"/>
          <w:iCs w:val="0"/>
          <w:color w:val="auto"/>
          <w:sz w:val="20"/>
          <w:szCs w:val="20"/>
        </w:rPr>
        <w:t xml:space="preserve">By </w:t>
      </w:r>
      <w:r w:rsidR="00A330CC" w:rsidRPr="00A5247C">
        <w:rPr>
          <w:rStyle w:val="SubtleEmphasis"/>
          <w:rFonts w:ascii="Century Gothic" w:hAnsi="Century Gothic"/>
          <w:i w:val="0"/>
          <w:iCs w:val="0"/>
          <w:color w:val="auto"/>
          <w:sz w:val="20"/>
          <w:szCs w:val="20"/>
        </w:rPr>
        <w:t>Seshree Govender, Senior Associate</w:t>
      </w:r>
      <w:r>
        <w:rPr>
          <w:rStyle w:val="SubtleEmphasis"/>
          <w:rFonts w:ascii="Century Gothic" w:hAnsi="Century Gothic"/>
          <w:i w:val="0"/>
          <w:iCs w:val="0"/>
          <w:color w:val="auto"/>
          <w:sz w:val="20"/>
          <w:szCs w:val="20"/>
        </w:rPr>
        <w:t xml:space="preserve"> at </w:t>
      </w:r>
      <w:r w:rsidR="00A330CC" w:rsidRPr="00A5247C">
        <w:rPr>
          <w:rStyle w:val="SubtleEmphasis"/>
          <w:rFonts w:ascii="Century Gothic" w:hAnsi="Century Gothic"/>
          <w:i w:val="0"/>
          <w:iCs w:val="0"/>
          <w:color w:val="auto"/>
          <w:sz w:val="20"/>
          <w:szCs w:val="20"/>
        </w:rPr>
        <w:t>Webber Wentzel</w:t>
      </w:r>
    </w:p>
    <w:p w14:paraId="26FA000B" w14:textId="7965CD90" w:rsidR="007502D4" w:rsidRPr="00A5247C" w:rsidRDefault="007502D4" w:rsidP="00A5247C">
      <w:pPr>
        <w:pStyle w:val="WWBodyText"/>
        <w:jc w:val="center"/>
        <w:rPr>
          <w:rFonts w:ascii="Century Gothic" w:hAnsi="Century Gothic"/>
          <w:i/>
          <w:iCs/>
          <w:sz w:val="20"/>
          <w:szCs w:val="20"/>
        </w:rPr>
      </w:pPr>
      <w:r w:rsidRPr="00A5247C">
        <w:rPr>
          <w:rFonts w:ascii="Century Gothic" w:hAnsi="Century Gothic"/>
          <w:i/>
          <w:iCs/>
          <w:sz w:val="20"/>
          <w:szCs w:val="20"/>
        </w:rPr>
        <w:t xml:space="preserve">The </w:t>
      </w:r>
      <w:r w:rsidR="00A5247C" w:rsidRPr="00A5247C">
        <w:rPr>
          <w:rFonts w:ascii="Century Gothic" w:hAnsi="Century Gothic"/>
          <w:i/>
          <w:iCs/>
          <w:sz w:val="20"/>
          <w:szCs w:val="20"/>
        </w:rPr>
        <w:t>recently published</w:t>
      </w:r>
      <w:r w:rsidRPr="00A5247C">
        <w:rPr>
          <w:rFonts w:ascii="Century Gothic" w:hAnsi="Century Gothic"/>
          <w:i/>
          <w:iCs/>
          <w:sz w:val="20"/>
          <w:szCs w:val="20"/>
        </w:rPr>
        <w:t xml:space="preserve"> Crypto Asset Policy P</w:t>
      </w:r>
      <w:r w:rsidR="00370133" w:rsidRPr="00A5247C">
        <w:rPr>
          <w:rFonts w:ascii="Century Gothic" w:hAnsi="Century Gothic"/>
          <w:i/>
          <w:iCs/>
          <w:sz w:val="20"/>
          <w:szCs w:val="20"/>
        </w:rPr>
        <w:t>aper lays out</w:t>
      </w:r>
      <w:r w:rsidRPr="00A5247C">
        <w:rPr>
          <w:rFonts w:ascii="Century Gothic" w:hAnsi="Century Gothic"/>
          <w:i/>
          <w:iCs/>
          <w:sz w:val="20"/>
          <w:szCs w:val="20"/>
        </w:rPr>
        <w:t xml:space="preserve"> the types of crypto asset service providers that will be subjected to regulatory oversight and how they will be supervised</w:t>
      </w:r>
    </w:p>
    <w:p w14:paraId="4C355AF7" w14:textId="4C75AABE" w:rsidR="001302E3" w:rsidRPr="00A5247C" w:rsidRDefault="0047226A" w:rsidP="0047226A">
      <w:pPr>
        <w:pStyle w:val="WWBodyText"/>
        <w:rPr>
          <w:rFonts w:ascii="Century Gothic" w:hAnsi="Century Gothic"/>
          <w:sz w:val="20"/>
          <w:szCs w:val="20"/>
        </w:rPr>
      </w:pPr>
      <w:r w:rsidRPr="00A5247C">
        <w:rPr>
          <w:rFonts w:ascii="Century Gothic" w:hAnsi="Century Gothic"/>
          <w:sz w:val="20"/>
          <w:szCs w:val="20"/>
        </w:rPr>
        <w:t>On 11 June 2021, the Inter-governmental Fintech Working Group</w:t>
      </w:r>
      <w:r w:rsidR="00F72079" w:rsidRPr="00A5247C">
        <w:rPr>
          <w:rFonts w:ascii="Century Gothic" w:hAnsi="Century Gothic"/>
          <w:sz w:val="20"/>
          <w:szCs w:val="20"/>
        </w:rPr>
        <w:t xml:space="preserve"> (IFWG)</w:t>
      </w:r>
      <w:r w:rsidRPr="00A5247C">
        <w:rPr>
          <w:rFonts w:ascii="Century Gothic" w:hAnsi="Century Gothic"/>
          <w:sz w:val="20"/>
          <w:szCs w:val="20"/>
        </w:rPr>
        <w:t xml:space="preserve"> published its long-awaited Crypto Asset Policy Paper</w:t>
      </w:r>
      <w:r w:rsidR="001302E3" w:rsidRPr="00A5247C">
        <w:rPr>
          <w:rFonts w:ascii="Century Gothic" w:hAnsi="Century Gothic"/>
          <w:sz w:val="20"/>
          <w:szCs w:val="20"/>
        </w:rPr>
        <w:t xml:space="preserve">. It shows the IFWG is </w:t>
      </w:r>
      <w:r w:rsidRPr="00A5247C">
        <w:rPr>
          <w:rFonts w:ascii="Century Gothic" w:hAnsi="Century Gothic"/>
          <w:sz w:val="20"/>
          <w:szCs w:val="20"/>
        </w:rPr>
        <w:t>official</w:t>
      </w:r>
      <w:r w:rsidR="001302E3" w:rsidRPr="00A5247C">
        <w:rPr>
          <w:rFonts w:ascii="Century Gothic" w:hAnsi="Century Gothic"/>
          <w:sz w:val="20"/>
          <w:szCs w:val="20"/>
        </w:rPr>
        <w:t>ly</w:t>
      </w:r>
      <w:r w:rsidRPr="00A5247C">
        <w:rPr>
          <w:rFonts w:ascii="Century Gothic" w:hAnsi="Century Gothic"/>
          <w:sz w:val="20"/>
          <w:szCs w:val="20"/>
        </w:rPr>
        <w:t xml:space="preserve"> mov</w:t>
      </w:r>
      <w:r w:rsidR="001302E3" w:rsidRPr="00A5247C">
        <w:rPr>
          <w:rFonts w:ascii="Century Gothic" w:hAnsi="Century Gothic"/>
          <w:sz w:val="20"/>
          <w:szCs w:val="20"/>
        </w:rPr>
        <w:t>ing</w:t>
      </w:r>
      <w:r w:rsidRPr="00A5247C">
        <w:rPr>
          <w:rFonts w:ascii="Century Gothic" w:hAnsi="Century Gothic"/>
          <w:sz w:val="20"/>
          <w:szCs w:val="20"/>
        </w:rPr>
        <w:t xml:space="preserve"> toward</w:t>
      </w:r>
      <w:r w:rsidR="001302E3" w:rsidRPr="00A5247C">
        <w:rPr>
          <w:rFonts w:ascii="Century Gothic" w:hAnsi="Century Gothic"/>
          <w:sz w:val="20"/>
          <w:szCs w:val="20"/>
        </w:rPr>
        <w:t>s</w:t>
      </w:r>
      <w:r w:rsidRPr="00A5247C">
        <w:rPr>
          <w:rFonts w:ascii="Century Gothic" w:hAnsi="Century Gothic"/>
          <w:sz w:val="20"/>
          <w:szCs w:val="20"/>
        </w:rPr>
        <w:t xml:space="preserve"> regulating crypto-asset services in South Africa and bringing an end to the </w:t>
      </w:r>
      <w:r w:rsidR="007B173B" w:rsidRPr="00A5247C">
        <w:rPr>
          <w:rFonts w:ascii="Century Gothic" w:hAnsi="Century Gothic"/>
          <w:sz w:val="20"/>
          <w:szCs w:val="20"/>
        </w:rPr>
        <w:t>long-standing "user</w:t>
      </w:r>
      <w:r w:rsidR="001302E3" w:rsidRPr="00A5247C">
        <w:rPr>
          <w:rFonts w:ascii="Century Gothic" w:hAnsi="Century Gothic"/>
          <w:sz w:val="20"/>
          <w:szCs w:val="20"/>
        </w:rPr>
        <w:t>-</w:t>
      </w:r>
      <w:r w:rsidR="007B173B" w:rsidRPr="00A5247C">
        <w:rPr>
          <w:rFonts w:ascii="Century Gothic" w:hAnsi="Century Gothic"/>
          <w:sz w:val="20"/>
          <w:szCs w:val="20"/>
        </w:rPr>
        <w:t>beware"</w:t>
      </w:r>
      <w:r w:rsidRPr="00A5247C">
        <w:rPr>
          <w:rFonts w:ascii="Century Gothic" w:hAnsi="Century Gothic"/>
          <w:sz w:val="20"/>
          <w:szCs w:val="20"/>
        </w:rPr>
        <w:t xml:space="preserve"> crypto asset regulatory position </w:t>
      </w:r>
      <w:r w:rsidR="007B173B" w:rsidRPr="00A5247C">
        <w:rPr>
          <w:rFonts w:ascii="Century Gothic" w:hAnsi="Century Gothic"/>
          <w:sz w:val="20"/>
          <w:szCs w:val="20"/>
        </w:rPr>
        <w:t>established in</w:t>
      </w:r>
      <w:r w:rsidRPr="00A5247C">
        <w:rPr>
          <w:rFonts w:ascii="Century Gothic" w:hAnsi="Century Gothic"/>
          <w:sz w:val="20"/>
          <w:szCs w:val="20"/>
        </w:rPr>
        <w:t xml:space="preserve"> 2014.</w:t>
      </w:r>
    </w:p>
    <w:p w14:paraId="382750A3" w14:textId="59240FEA" w:rsidR="0047226A" w:rsidRPr="00A5247C" w:rsidRDefault="0047226A" w:rsidP="0047226A">
      <w:pPr>
        <w:pStyle w:val="WWBodyText"/>
        <w:rPr>
          <w:rFonts w:ascii="Century Gothic" w:hAnsi="Century Gothic"/>
          <w:sz w:val="20"/>
          <w:szCs w:val="20"/>
        </w:rPr>
      </w:pPr>
      <w:r w:rsidRPr="00A5247C">
        <w:rPr>
          <w:rFonts w:ascii="Century Gothic" w:hAnsi="Century Gothic"/>
          <w:sz w:val="20"/>
          <w:szCs w:val="20"/>
        </w:rPr>
        <w:t>The South African crypto asset industry will now begin the process of transitioning from its current unregulated landscape to an environment subject to the regulatory purview of the Financial Sector Conduct Authority</w:t>
      </w:r>
      <w:r w:rsidR="00F72079" w:rsidRPr="00A5247C">
        <w:rPr>
          <w:rFonts w:ascii="Century Gothic" w:hAnsi="Century Gothic"/>
          <w:sz w:val="20"/>
          <w:szCs w:val="20"/>
        </w:rPr>
        <w:t xml:space="preserve"> (FSCA)</w:t>
      </w:r>
      <w:r w:rsidRPr="00A5247C">
        <w:rPr>
          <w:rFonts w:ascii="Century Gothic" w:hAnsi="Century Gothic"/>
          <w:sz w:val="20"/>
          <w:szCs w:val="20"/>
        </w:rPr>
        <w:t>, the South African Reserve Bank</w:t>
      </w:r>
      <w:r w:rsidR="00F72079" w:rsidRPr="00A5247C">
        <w:rPr>
          <w:rFonts w:ascii="Century Gothic" w:hAnsi="Century Gothic"/>
          <w:sz w:val="20"/>
          <w:szCs w:val="20"/>
        </w:rPr>
        <w:t xml:space="preserve"> (SARB)</w:t>
      </w:r>
      <w:r w:rsidRPr="00A5247C">
        <w:rPr>
          <w:rFonts w:ascii="Century Gothic" w:hAnsi="Century Gothic"/>
          <w:sz w:val="20"/>
          <w:szCs w:val="20"/>
        </w:rPr>
        <w:t xml:space="preserve"> and the Financial Intelligence Centre</w:t>
      </w:r>
      <w:r w:rsidR="00F72079" w:rsidRPr="00A5247C">
        <w:rPr>
          <w:rFonts w:ascii="Century Gothic" w:hAnsi="Century Gothic"/>
          <w:sz w:val="20"/>
          <w:szCs w:val="20"/>
        </w:rPr>
        <w:t xml:space="preserve"> (FIC)</w:t>
      </w:r>
      <w:r w:rsidRPr="00A5247C">
        <w:rPr>
          <w:rFonts w:ascii="Century Gothic" w:hAnsi="Century Gothic"/>
          <w:sz w:val="20"/>
          <w:szCs w:val="20"/>
        </w:rPr>
        <w:t>.</w:t>
      </w:r>
    </w:p>
    <w:p w14:paraId="1252147F" w14:textId="64A4E449" w:rsidR="00610469" w:rsidRPr="00A5247C" w:rsidRDefault="00610469" w:rsidP="00610469">
      <w:pPr>
        <w:pStyle w:val="WWBodyText"/>
        <w:rPr>
          <w:rFonts w:ascii="Century Gothic" w:hAnsi="Century Gothic"/>
          <w:sz w:val="20"/>
          <w:szCs w:val="20"/>
          <w:u w:val="single"/>
        </w:rPr>
      </w:pPr>
      <w:r w:rsidRPr="00A5247C">
        <w:rPr>
          <w:rFonts w:ascii="Century Gothic" w:hAnsi="Century Gothic"/>
          <w:sz w:val="20"/>
          <w:szCs w:val="20"/>
          <w:u w:val="single"/>
        </w:rPr>
        <w:t>The current landscape of crypto asset regulation in South Africa</w:t>
      </w:r>
    </w:p>
    <w:p w14:paraId="3E1C0BE6" w14:textId="78A89E88" w:rsidR="001302E3" w:rsidRPr="00A5247C" w:rsidRDefault="00610469" w:rsidP="00610469">
      <w:pPr>
        <w:pStyle w:val="WWBodyText"/>
        <w:rPr>
          <w:rFonts w:ascii="Century Gothic" w:hAnsi="Century Gothic"/>
          <w:sz w:val="20"/>
          <w:szCs w:val="20"/>
        </w:rPr>
      </w:pPr>
      <w:r w:rsidRPr="00A5247C">
        <w:rPr>
          <w:rFonts w:ascii="Century Gothic" w:hAnsi="Century Gothic"/>
          <w:sz w:val="20"/>
          <w:szCs w:val="20"/>
        </w:rPr>
        <w:t>The South African policy position on crypto asset/currency regulation was first set out in the 2014 position paper on Virtual Currencies issued</w:t>
      </w:r>
      <w:r w:rsidR="007E3774" w:rsidRPr="00A5247C">
        <w:rPr>
          <w:rFonts w:ascii="Century Gothic" w:hAnsi="Century Gothic"/>
          <w:sz w:val="20"/>
          <w:szCs w:val="20"/>
        </w:rPr>
        <w:t xml:space="preserve"> by the</w:t>
      </w:r>
      <w:r w:rsidRPr="00A5247C">
        <w:rPr>
          <w:rFonts w:ascii="Century Gothic" w:hAnsi="Century Gothic"/>
          <w:sz w:val="20"/>
          <w:szCs w:val="20"/>
        </w:rPr>
        <w:t xml:space="preserve"> SARB as part of a joint initiative between the SARB, National Treasur</w:t>
      </w:r>
      <w:r w:rsidR="004A2B34" w:rsidRPr="00A5247C">
        <w:rPr>
          <w:rFonts w:ascii="Century Gothic" w:hAnsi="Century Gothic"/>
          <w:sz w:val="20"/>
          <w:szCs w:val="20"/>
        </w:rPr>
        <w:t>y</w:t>
      </w:r>
      <w:r w:rsidRPr="00A5247C">
        <w:rPr>
          <w:rFonts w:ascii="Century Gothic" w:hAnsi="Century Gothic"/>
          <w:sz w:val="20"/>
          <w:szCs w:val="20"/>
        </w:rPr>
        <w:t xml:space="preserve">, the Financial Services Board, </w:t>
      </w:r>
      <w:proofErr w:type="gramStart"/>
      <w:r w:rsidRPr="00A5247C">
        <w:rPr>
          <w:rFonts w:ascii="Century Gothic" w:hAnsi="Century Gothic"/>
          <w:sz w:val="20"/>
          <w:szCs w:val="20"/>
        </w:rPr>
        <w:t>SARS</w:t>
      </w:r>
      <w:proofErr w:type="gramEnd"/>
      <w:r w:rsidRPr="00A5247C">
        <w:rPr>
          <w:rFonts w:ascii="Century Gothic" w:hAnsi="Century Gothic"/>
          <w:sz w:val="20"/>
          <w:szCs w:val="20"/>
        </w:rPr>
        <w:t xml:space="preserve"> and the FIC. Due to the global lack of regulation and supervision of </w:t>
      </w:r>
      <w:r w:rsidR="004A2B34" w:rsidRPr="00A5247C">
        <w:rPr>
          <w:rFonts w:ascii="Century Gothic" w:hAnsi="Century Gothic"/>
          <w:sz w:val="20"/>
          <w:szCs w:val="20"/>
        </w:rPr>
        <w:t>cryptocurrency</w:t>
      </w:r>
      <w:r w:rsidRPr="00A5247C">
        <w:rPr>
          <w:rFonts w:ascii="Century Gothic" w:hAnsi="Century Gothic"/>
          <w:sz w:val="20"/>
          <w:szCs w:val="20"/>
        </w:rPr>
        <w:t xml:space="preserve"> at the time, the 2014 policy position did not subject crypto assets to any regulatory oversight</w:t>
      </w:r>
      <w:r w:rsidR="001302E3" w:rsidRPr="00A5247C">
        <w:rPr>
          <w:rFonts w:ascii="Century Gothic" w:hAnsi="Century Gothic"/>
          <w:sz w:val="20"/>
          <w:szCs w:val="20"/>
        </w:rPr>
        <w:t xml:space="preserve">. </w:t>
      </w:r>
      <w:proofErr w:type="gramStart"/>
      <w:r w:rsidR="001302E3" w:rsidRPr="00A5247C">
        <w:rPr>
          <w:rFonts w:ascii="Century Gothic" w:hAnsi="Century Gothic"/>
          <w:sz w:val="20"/>
          <w:szCs w:val="20"/>
        </w:rPr>
        <w:t>T</w:t>
      </w:r>
      <w:r w:rsidRPr="00A5247C">
        <w:rPr>
          <w:rFonts w:ascii="Century Gothic" w:hAnsi="Century Gothic"/>
          <w:sz w:val="20"/>
          <w:szCs w:val="20"/>
        </w:rPr>
        <w:t>hus</w:t>
      </w:r>
      <w:proofErr w:type="gramEnd"/>
      <w:r w:rsidRPr="00A5247C">
        <w:rPr>
          <w:rFonts w:ascii="Century Gothic" w:hAnsi="Century Gothic"/>
          <w:sz w:val="20"/>
          <w:szCs w:val="20"/>
        </w:rPr>
        <w:t xml:space="preserve"> any</w:t>
      </w:r>
      <w:r w:rsidR="007502D4" w:rsidRPr="00A5247C">
        <w:rPr>
          <w:rFonts w:ascii="Century Gothic" w:hAnsi="Century Gothic"/>
          <w:sz w:val="20"/>
          <w:szCs w:val="20"/>
        </w:rPr>
        <w:t>one</w:t>
      </w:r>
      <w:r w:rsidRPr="00A5247C">
        <w:rPr>
          <w:rFonts w:ascii="Century Gothic" w:hAnsi="Century Gothic"/>
          <w:sz w:val="20"/>
          <w:szCs w:val="20"/>
        </w:rPr>
        <w:t xml:space="preserve"> who </w:t>
      </w:r>
      <w:r w:rsidR="004A2B34" w:rsidRPr="00A5247C">
        <w:rPr>
          <w:rFonts w:ascii="Century Gothic" w:hAnsi="Century Gothic"/>
          <w:sz w:val="20"/>
          <w:szCs w:val="20"/>
        </w:rPr>
        <w:t>participated</w:t>
      </w:r>
      <w:r w:rsidRPr="00A5247C">
        <w:rPr>
          <w:rFonts w:ascii="Century Gothic" w:hAnsi="Century Gothic"/>
          <w:sz w:val="20"/>
          <w:szCs w:val="20"/>
        </w:rPr>
        <w:t xml:space="preserve"> in the crypto asset industry did so at their own risk.</w:t>
      </w:r>
    </w:p>
    <w:p w14:paraId="71E8FDAA" w14:textId="03EE51DB" w:rsidR="00610469" w:rsidRPr="00A5247C" w:rsidRDefault="00610469" w:rsidP="00610469">
      <w:pPr>
        <w:pStyle w:val="WWBodyText"/>
        <w:rPr>
          <w:rFonts w:ascii="Century Gothic" w:hAnsi="Century Gothic"/>
          <w:sz w:val="20"/>
          <w:szCs w:val="20"/>
        </w:rPr>
      </w:pPr>
      <w:r w:rsidRPr="00A5247C">
        <w:rPr>
          <w:rFonts w:ascii="Century Gothic" w:hAnsi="Century Gothic"/>
          <w:sz w:val="20"/>
          <w:szCs w:val="20"/>
        </w:rPr>
        <w:t>While the South African crypto asset industry has significantly changed and grown since 2014</w:t>
      </w:r>
      <w:r w:rsidR="001302E3" w:rsidRPr="00A5247C">
        <w:rPr>
          <w:rFonts w:ascii="Century Gothic" w:hAnsi="Century Gothic"/>
          <w:sz w:val="20"/>
          <w:szCs w:val="20"/>
        </w:rPr>
        <w:t>,</w:t>
      </w:r>
      <w:r w:rsidRPr="00A5247C">
        <w:rPr>
          <w:rFonts w:ascii="Century Gothic" w:hAnsi="Century Gothic"/>
          <w:sz w:val="20"/>
          <w:szCs w:val="20"/>
        </w:rPr>
        <w:t xml:space="preserve"> the regulatory position did not. Due to the prevailing application of the 2014 position, </w:t>
      </w:r>
      <w:r w:rsidR="007E3774" w:rsidRPr="00A5247C">
        <w:rPr>
          <w:rFonts w:ascii="Century Gothic" w:hAnsi="Century Gothic"/>
          <w:sz w:val="20"/>
          <w:szCs w:val="20"/>
        </w:rPr>
        <w:t>the industry</w:t>
      </w:r>
      <w:r w:rsidRPr="00A5247C">
        <w:rPr>
          <w:rFonts w:ascii="Century Gothic" w:hAnsi="Century Gothic"/>
          <w:sz w:val="20"/>
          <w:szCs w:val="20"/>
        </w:rPr>
        <w:t xml:space="preserve"> currently operates in a</w:t>
      </w:r>
      <w:r w:rsidR="007E3774" w:rsidRPr="00A5247C">
        <w:rPr>
          <w:rFonts w:ascii="Century Gothic" w:hAnsi="Century Gothic"/>
          <w:sz w:val="20"/>
          <w:szCs w:val="20"/>
        </w:rPr>
        <w:t xml:space="preserve"> largely </w:t>
      </w:r>
      <w:r w:rsidRPr="00A5247C">
        <w:rPr>
          <w:rFonts w:ascii="Century Gothic" w:hAnsi="Century Gothic"/>
          <w:sz w:val="20"/>
          <w:szCs w:val="20"/>
        </w:rPr>
        <w:t>unregulated space</w:t>
      </w:r>
      <w:r w:rsidR="007E3774" w:rsidRPr="00A5247C">
        <w:rPr>
          <w:rFonts w:ascii="Century Gothic" w:hAnsi="Century Gothic"/>
          <w:sz w:val="20"/>
          <w:szCs w:val="20"/>
        </w:rPr>
        <w:t>,</w:t>
      </w:r>
      <w:r w:rsidRPr="00A5247C">
        <w:rPr>
          <w:rFonts w:ascii="Century Gothic" w:hAnsi="Century Gothic"/>
          <w:sz w:val="20"/>
          <w:szCs w:val="20"/>
        </w:rPr>
        <w:t xml:space="preserve"> </w:t>
      </w:r>
      <w:r w:rsidR="004A2B34" w:rsidRPr="00A5247C">
        <w:rPr>
          <w:rFonts w:ascii="Century Gothic" w:hAnsi="Century Gothic"/>
          <w:sz w:val="20"/>
          <w:szCs w:val="20"/>
        </w:rPr>
        <w:t>governed predominantly</w:t>
      </w:r>
      <w:r w:rsidRPr="00A5247C">
        <w:rPr>
          <w:rFonts w:ascii="Century Gothic" w:hAnsi="Century Gothic"/>
          <w:sz w:val="20"/>
          <w:szCs w:val="20"/>
        </w:rPr>
        <w:t xml:space="preserve"> by the contractual relationship</w:t>
      </w:r>
      <w:r w:rsidR="004A2B34" w:rsidRPr="00A5247C">
        <w:rPr>
          <w:rFonts w:ascii="Century Gothic" w:hAnsi="Century Gothic"/>
          <w:sz w:val="20"/>
          <w:szCs w:val="20"/>
        </w:rPr>
        <w:t>s</w:t>
      </w:r>
      <w:r w:rsidRPr="00A5247C">
        <w:rPr>
          <w:rFonts w:ascii="Century Gothic" w:hAnsi="Century Gothic"/>
          <w:sz w:val="20"/>
          <w:szCs w:val="20"/>
        </w:rPr>
        <w:t xml:space="preserve"> concluded between </w:t>
      </w:r>
      <w:r w:rsidR="004A2B34" w:rsidRPr="00A5247C">
        <w:rPr>
          <w:rFonts w:ascii="Century Gothic" w:hAnsi="Century Gothic"/>
          <w:sz w:val="20"/>
          <w:szCs w:val="20"/>
        </w:rPr>
        <w:t>its participants</w:t>
      </w:r>
      <w:r w:rsidRPr="00A5247C">
        <w:rPr>
          <w:rFonts w:ascii="Century Gothic" w:hAnsi="Century Gothic"/>
          <w:sz w:val="20"/>
          <w:szCs w:val="20"/>
        </w:rPr>
        <w:t xml:space="preserve">. </w:t>
      </w:r>
    </w:p>
    <w:p w14:paraId="6031A32C" w14:textId="1CCAD6DA" w:rsidR="00610469" w:rsidRPr="00A5247C" w:rsidRDefault="00610469" w:rsidP="00610469">
      <w:pPr>
        <w:pStyle w:val="WWBodyText"/>
        <w:rPr>
          <w:rFonts w:ascii="Century Gothic" w:hAnsi="Century Gothic"/>
          <w:sz w:val="20"/>
          <w:szCs w:val="20"/>
          <w:u w:val="single"/>
        </w:rPr>
      </w:pPr>
      <w:r w:rsidRPr="00A5247C">
        <w:rPr>
          <w:rFonts w:ascii="Century Gothic" w:hAnsi="Century Gothic"/>
          <w:sz w:val="20"/>
          <w:szCs w:val="20"/>
          <w:u w:val="single"/>
        </w:rPr>
        <w:t xml:space="preserve">The road to regulation - unpacking the Crypto </w:t>
      </w:r>
      <w:r w:rsidR="001302E3" w:rsidRPr="00A5247C">
        <w:rPr>
          <w:rFonts w:ascii="Century Gothic" w:hAnsi="Century Gothic"/>
          <w:sz w:val="20"/>
          <w:szCs w:val="20"/>
          <w:u w:val="single"/>
        </w:rPr>
        <w:t>A</w:t>
      </w:r>
      <w:r w:rsidRPr="00A5247C">
        <w:rPr>
          <w:rFonts w:ascii="Century Gothic" w:hAnsi="Century Gothic"/>
          <w:sz w:val="20"/>
          <w:szCs w:val="20"/>
          <w:u w:val="single"/>
        </w:rPr>
        <w:t xml:space="preserve">sset </w:t>
      </w:r>
      <w:r w:rsidR="001302E3" w:rsidRPr="00A5247C">
        <w:rPr>
          <w:rFonts w:ascii="Century Gothic" w:hAnsi="Century Gothic"/>
          <w:sz w:val="20"/>
          <w:szCs w:val="20"/>
          <w:u w:val="single"/>
        </w:rPr>
        <w:t>P</w:t>
      </w:r>
      <w:r w:rsidRPr="00A5247C">
        <w:rPr>
          <w:rFonts w:ascii="Century Gothic" w:hAnsi="Century Gothic"/>
          <w:sz w:val="20"/>
          <w:szCs w:val="20"/>
          <w:u w:val="single"/>
        </w:rPr>
        <w:t xml:space="preserve">olicy </w:t>
      </w:r>
      <w:r w:rsidR="001302E3" w:rsidRPr="00A5247C">
        <w:rPr>
          <w:rFonts w:ascii="Century Gothic" w:hAnsi="Century Gothic"/>
          <w:sz w:val="20"/>
          <w:szCs w:val="20"/>
          <w:u w:val="single"/>
        </w:rPr>
        <w:t>P</w:t>
      </w:r>
      <w:r w:rsidRPr="00A5247C">
        <w:rPr>
          <w:rFonts w:ascii="Century Gothic" w:hAnsi="Century Gothic"/>
          <w:sz w:val="20"/>
          <w:szCs w:val="20"/>
          <w:u w:val="single"/>
        </w:rPr>
        <w:t>aper</w:t>
      </w:r>
    </w:p>
    <w:p w14:paraId="44FC5F5C" w14:textId="765C011F" w:rsidR="007D290C" w:rsidRPr="00A5247C" w:rsidRDefault="00610469" w:rsidP="007D290C">
      <w:pPr>
        <w:pStyle w:val="WWBodyText"/>
        <w:rPr>
          <w:rFonts w:ascii="Century Gothic" w:hAnsi="Century Gothic"/>
          <w:sz w:val="20"/>
          <w:szCs w:val="20"/>
        </w:rPr>
      </w:pPr>
      <w:r w:rsidRPr="00A5247C">
        <w:rPr>
          <w:rFonts w:ascii="Century Gothic" w:hAnsi="Century Gothic"/>
          <w:sz w:val="20"/>
          <w:szCs w:val="20"/>
        </w:rPr>
        <w:t>The core purpose of the impending crypto asset regulatory framework is not to regulate the nature of crypto assets or dictate the development of the underlying technology</w:t>
      </w:r>
      <w:r w:rsidR="001302E3" w:rsidRPr="00A5247C">
        <w:rPr>
          <w:rFonts w:ascii="Century Gothic" w:hAnsi="Century Gothic"/>
          <w:sz w:val="20"/>
          <w:szCs w:val="20"/>
        </w:rPr>
        <w:t>,</w:t>
      </w:r>
      <w:r w:rsidRPr="00A5247C">
        <w:rPr>
          <w:rFonts w:ascii="Century Gothic" w:hAnsi="Century Gothic"/>
          <w:sz w:val="20"/>
          <w:szCs w:val="20"/>
        </w:rPr>
        <w:t xml:space="preserve"> but to subject the providers of crypto asset</w:t>
      </w:r>
      <w:r w:rsidR="001302E3" w:rsidRPr="00A5247C">
        <w:rPr>
          <w:rFonts w:ascii="Century Gothic" w:hAnsi="Century Gothic"/>
          <w:sz w:val="20"/>
          <w:szCs w:val="20"/>
        </w:rPr>
        <w:t>-</w:t>
      </w:r>
      <w:r w:rsidRPr="00A5247C">
        <w:rPr>
          <w:rFonts w:ascii="Century Gothic" w:hAnsi="Century Gothic"/>
          <w:sz w:val="20"/>
          <w:szCs w:val="20"/>
        </w:rPr>
        <w:t xml:space="preserve">related services to regulatory supervision and oversight. </w:t>
      </w:r>
      <w:r w:rsidR="001302E3" w:rsidRPr="00A5247C">
        <w:rPr>
          <w:rFonts w:ascii="Century Gothic" w:hAnsi="Century Gothic"/>
          <w:sz w:val="20"/>
          <w:szCs w:val="20"/>
        </w:rPr>
        <w:t>T</w:t>
      </w:r>
      <w:r w:rsidRPr="00A5247C">
        <w:rPr>
          <w:rFonts w:ascii="Century Gothic" w:hAnsi="Century Gothic"/>
          <w:sz w:val="20"/>
          <w:szCs w:val="20"/>
        </w:rPr>
        <w:t xml:space="preserve">he </w:t>
      </w:r>
      <w:r w:rsidR="004A2B34" w:rsidRPr="00A5247C">
        <w:rPr>
          <w:rFonts w:ascii="Century Gothic" w:hAnsi="Century Gothic"/>
          <w:sz w:val="20"/>
          <w:szCs w:val="20"/>
        </w:rPr>
        <w:t>transition</w:t>
      </w:r>
      <w:r w:rsidRPr="00A5247C">
        <w:rPr>
          <w:rFonts w:ascii="Century Gothic" w:hAnsi="Century Gothic"/>
          <w:sz w:val="20"/>
          <w:szCs w:val="20"/>
        </w:rPr>
        <w:t xml:space="preserve"> of the South African crypto asset </w:t>
      </w:r>
      <w:r w:rsidR="004A2B34" w:rsidRPr="00A5247C">
        <w:rPr>
          <w:rFonts w:ascii="Century Gothic" w:hAnsi="Century Gothic"/>
          <w:sz w:val="20"/>
          <w:szCs w:val="20"/>
        </w:rPr>
        <w:t>industry</w:t>
      </w:r>
      <w:r w:rsidRPr="00A5247C">
        <w:rPr>
          <w:rFonts w:ascii="Century Gothic" w:hAnsi="Century Gothic"/>
          <w:sz w:val="20"/>
          <w:szCs w:val="20"/>
        </w:rPr>
        <w:t xml:space="preserve"> to the impending regulatory framework will be </w:t>
      </w:r>
      <w:r w:rsidR="007E3774" w:rsidRPr="00A5247C">
        <w:rPr>
          <w:rFonts w:ascii="Century Gothic" w:hAnsi="Century Gothic"/>
          <w:sz w:val="20"/>
          <w:szCs w:val="20"/>
        </w:rPr>
        <w:t>driven by</w:t>
      </w:r>
      <w:r w:rsidR="007D290C" w:rsidRPr="00A5247C">
        <w:rPr>
          <w:rFonts w:ascii="Century Gothic" w:hAnsi="Century Gothic"/>
          <w:sz w:val="20"/>
          <w:szCs w:val="20"/>
        </w:rPr>
        <w:t xml:space="preserve"> two important questions</w:t>
      </w:r>
      <w:r w:rsidR="001302E3" w:rsidRPr="00A5247C">
        <w:rPr>
          <w:rFonts w:ascii="Century Gothic" w:hAnsi="Century Gothic"/>
          <w:sz w:val="20"/>
          <w:szCs w:val="20"/>
        </w:rPr>
        <w:t>:</w:t>
      </w:r>
      <w:r w:rsidR="007D290C" w:rsidRPr="00A5247C">
        <w:rPr>
          <w:rFonts w:ascii="Century Gothic" w:hAnsi="Century Gothic"/>
          <w:sz w:val="20"/>
          <w:szCs w:val="20"/>
        </w:rPr>
        <w:t xml:space="preserve">  (i) who is a crypto-asset service provider ("</w:t>
      </w:r>
      <w:r w:rsidR="007D290C" w:rsidRPr="00A5247C">
        <w:rPr>
          <w:rFonts w:ascii="Century Gothic" w:hAnsi="Century Gothic"/>
          <w:b/>
          <w:bCs/>
          <w:sz w:val="20"/>
          <w:szCs w:val="20"/>
        </w:rPr>
        <w:t>CASP</w:t>
      </w:r>
      <w:r w:rsidR="007D290C" w:rsidRPr="00A5247C">
        <w:rPr>
          <w:rFonts w:ascii="Century Gothic" w:hAnsi="Century Gothic"/>
          <w:sz w:val="20"/>
          <w:szCs w:val="20"/>
        </w:rPr>
        <w:t>"); and how will CASPs be supervised?</w:t>
      </w:r>
    </w:p>
    <w:p w14:paraId="1D94955A" w14:textId="39B93524" w:rsidR="00610469" w:rsidRPr="00A5247C" w:rsidRDefault="007D290C" w:rsidP="00610469">
      <w:pPr>
        <w:pStyle w:val="WWBodyText"/>
        <w:rPr>
          <w:rFonts w:ascii="Century Gothic" w:hAnsi="Century Gothic"/>
          <w:sz w:val="20"/>
          <w:szCs w:val="20"/>
          <w:u w:val="single"/>
        </w:rPr>
      </w:pPr>
      <w:r w:rsidRPr="00A5247C">
        <w:rPr>
          <w:rFonts w:ascii="Century Gothic" w:hAnsi="Century Gothic"/>
          <w:sz w:val="20"/>
          <w:szCs w:val="20"/>
          <w:u w:val="single"/>
        </w:rPr>
        <w:t>Who is a CASP?</w:t>
      </w:r>
    </w:p>
    <w:p w14:paraId="6832651A" w14:textId="5DE9FB03" w:rsidR="00610469" w:rsidRPr="00A5247C" w:rsidRDefault="007D290C" w:rsidP="00610469">
      <w:pPr>
        <w:pStyle w:val="WWBodyText"/>
        <w:rPr>
          <w:rFonts w:ascii="Century Gothic" w:hAnsi="Century Gothic"/>
          <w:sz w:val="20"/>
          <w:szCs w:val="20"/>
        </w:rPr>
      </w:pPr>
      <w:r w:rsidRPr="00A5247C">
        <w:rPr>
          <w:rFonts w:ascii="Century Gothic" w:hAnsi="Century Gothic"/>
          <w:sz w:val="20"/>
          <w:szCs w:val="20"/>
        </w:rPr>
        <w:t>T</w:t>
      </w:r>
      <w:r w:rsidR="00610469" w:rsidRPr="00A5247C">
        <w:rPr>
          <w:rFonts w:ascii="Century Gothic" w:hAnsi="Century Gothic"/>
          <w:sz w:val="20"/>
          <w:szCs w:val="20"/>
        </w:rPr>
        <w:t xml:space="preserve">he </w:t>
      </w:r>
      <w:r w:rsidRPr="00A5247C">
        <w:rPr>
          <w:rFonts w:ascii="Century Gothic" w:hAnsi="Century Gothic"/>
          <w:sz w:val="20"/>
          <w:szCs w:val="20"/>
        </w:rPr>
        <w:t xml:space="preserve">impending </w:t>
      </w:r>
      <w:r w:rsidR="00610469" w:rsidRPr="00A5247C">
        <w:rPr>
          <w:rFonts w:ascii="Century Gothic" w:hAnsi="Century Gothic"/>
          <w:sz w:val="20"/>
          <w:szCs w:val="20"/>
        </w:rPr>
        <w:t>cr</w:t>
      </w:r>
      <w:r w:rsidRPr="00A5247C">
        <w:rPr>
          <w:rFonts w:ascii="Century Gothic" w:hAnsi="Century Gothic"/>
          <w:sz w:val="20"/>
          <w:szCs w:val="20"/>
        </w:rPr>
        <w:t>y</w:t>
      </w:r>
      <w:r w:rsidR="00610469" w:rsidRPr="00A5247C">
        <w:rPr>
          <w:rFonts w:ascii="Century Gothic" w:hAnsi="Century Gothic"/>
          <w:sz w:val="20"/>
          <w:szCs w:val="20"/>
        </w:rPr>
        <w:t xml:space="preserve">pto asset regulatory </w:t>
      </w:r>
      <w:r w:rsidRPr="00A5247C">
        <w:rPr>
          <w:rFonts w:ascii="Century Gothic" w:hAnsi="Century Gothic"/>
          <w:sz w:val="20"/>
          <w:szCs w:val="20"/>
        </w:rPr>
        <w:t>environment</w:t>
      </w:r>
      <w:r w:rsidR="00610469" w:rsidRPr="00A5247C">
        <w:rPr>
          <w:rFonts w:ascii="Century Gothic" w:hAnsi="Century Gothic"/>
          <w:sz w:val="20"/>
          <w:szCs w:val="20"/>
        </w:rPr>
        <w:t xml:space="preserve"> will on</w:t>
      </w:r>
      <w:r w:rsidRPr="00A5247C">
        <w:rPr>
          <w:rFonts w:ascii="Century Gothic" w:hAnsi="Century Gothic"/>
          <w:sz w:val="20"/>
          <w:szCs w:val="20"/>
        </w:rPr>
        <w:t>ly</w:t>
      </w:r>
      <w:r w:rsidR="00610469" w:rsidRPr="00A5247C">
        <w:rPr>
          <w:rFonts w:ascii="Century Gothic" w:hAnsi="Century Gothic"/>
          <w:sz w:val="20"/>
          <w:szCs w:val="20"/>
        </w:rPr>
        <w:t xml:space="preserve"> be applicable to </w:t>
      </w:r>
      <w:r w:rsidRPr="00A5247C">
        <w:rPr>
          <w:rFonts w:ascii="Century Gothic" w:hAnsi="Century Gothic"/>
          <w:sz w:val="20"/>
          <w:szCs w:val="20"/>
        </w:rPr>
        <w:t>crypto</w:t>
      </w:r>
      <w:r w:rsidR="001302E3" w:rsidRPr="00A5247C">
        <w:rPr>
          <w:rFonts w:ascii="Century Gothic" w:hAnsi="Century Gothic"/>
          <w:sz w:val="20"/>
          <w:szCs w:val="20"/>
        </w:rPr>
        <w:t xml:space="preserve"> </w:t>
      </w:r>
      <w:r w:rsidRPr="00A5247C">
        <w:rPr>
          <w:rFonts w:ascii="Century Gothic" w:hAnsi="Century Gothic"/>
          <w:sz w:val="20"/>
          <w:szCs w:val="20"/>
        </w:rPr>
        <w:t>asset</w:t>
      </w:r>
      <w:r w:rsidR="001302E3" w:rsidRPr="00A5247C">
        <w:rPr>
          <w:rFonts w:ascii="Century Gothic" w:hAnsi="Century Gothic"/>
          <w:sz w:val="20"/>
          <w:szCs w:val="20"/>
        </w:rPr>
        <w:t>-</w:t>
      </w:r>
      <w:r w:rsidRPr="00A5247C">
        <w:rPr>
          <w:rFonts w:ascii="Century Gothic" w:hAnsi="Century Gothic"/>
          <w:sz w:val="20"/>
          <w:szCs w:val="20"/>
        </w:rPr>
        <w:t>related activities</w:t>
      </w:r>
      <w:r w:rsidR="00610469" w:rsidRPr="00A5247C">
        <w:rPr>
          <w:rFonts w:ascii="Century Gothic" w:hAnsi="Century Gothic"/>
          <w:sz w:val="20"/>
          <w:szCs w:val="20"/>
        </w:rPr>
        <w:t xml:space="preserve"> that fall within the </w:t>
      </w:r>
      <w:r w:rsidRPr="00A5247C">
        <w:rPr>
          <w:rFonts w:ascii="Century Gothic" w:hAnsi="Century Gothic"/>
          <w:sz w:val="20"/>
          <w:szCs w:val="20"/>
        </w:rPr>
        <w:t>parameters</w:t>
      </w:r>
      <w:r w:rsidR="00610469" w:rsidRPr="00A5247C">
        <w:rPr>
          <w:rFonts w:ascii="Century Gothic" w:hAnsi="Century Gothic"/>
          <w:sz w:val="20"/>
          <w:szCs w:val="20"/>
        </w:rPr>
        <w:t xml:space="preserve"> of a "crypto asset service" as </w:t>
      </w:r>
      <w:r w:rsidRPr="00A5247C">
        <w:rPr>
          <w:rFonts w:ascii="Century Gothic" w:hAnsi="Century Gothic"/>
          <w:sz w:val="20"/>
          <w:szCs w:val="20"/>
        </w:rPr>
        <w:t>specifically</w:t>
      </w:r>
      <w:r w:rsidR="00610469" w:rsidRPr="00A5247C">
        <w:rPr>
          <w:rFonts w:ascii="Century Gothic" w:hAnsi="Century Gothic"/>
          <w:sz w:val="20"/>
          <w:szCs w:val="20"/>
        </w:rPr>
        <w:t xml:space="preserve"> </w:t>
      </w:r>
      <w:r w:rsidR="00610469" w:rsidRPr="00A5247C">
        <w:rPr>
          <w:rFonts w:ascii="Century Gothic" w:hAnsi="Century Gothic"/>
          <w:sz w:val="20"/>
          <w:szCs w:val="20"/>
        </w:rPr>
        <w:lastRenderedPageBreak/>
        <w:t xml:space="preserve">contemplated in the </w:t>
      </w:r>
      <w:r w:rsidR="007E3774" w:rsidRPr="00A5247C">
        <w:rPr>
          <w:rFonts w:ascii="Century Gothic" w:hAnsi="Century Gothic"/>
          <w:sz w:val="20"/>
          <w:szCs w:val="20"/>
        </w:rPr>
        <w:t>C</w:t>
      </w:r>
      <w:r w:rsidR="00610469" w:rsidRPr="00A5247C">
        <w:rPr>
          <w:rFonts w:ascii="Century Gothic" w:hAnsi="Century Gothic"/>
          <w:sz w:val="20"/>
          <w:szCs w:val="20"/>
        </w:rPr>
        <w:t xml:space="preserve">rypto </w:t>
      </w:r>
      <w:r w:rsidR="007E3774" w:rsidRPr="00A5247C">
        <w:rPr>
          <w:rFonts w:ascii="Century Gothic" w:hAnsi="Century Gothic"/>
          <w:sz w:val="20"/>
          <w:szCs w:val="20"/>
        </w:rPr>
        <w:t>A</w:t>
      </w:r>
      <w:r w:rsidR="00610469" w:rsidRPr="00A5247C">
        <w:rPr>
          <w:rFonts w:ascii="Century Gothic" w:hAnsi="Century Gothic"/>
          <w:sz w:val="20"/>
          <w:szCs w:val="20"/>
        </w:rPr>
        <w:t xml:space="preserve">sset </w:t>
      </w:r>
      <w:r w:rsidR="007E3774" w:rsidRPr="00A5247C">
        <w:rPr>
          <w:rFonts w:ascii="Century Gothic" w:hAnsi="Century Gothic"/>
          <w:sz w:val="20"/>
          <w:szCs w:val="20"/>
        </w:rPr>
        <w:t>P</w:t>
      </w:r>
      <w:r w:rsidR="00610469" w:rsidRPr="00A5247C">
        <w:rPr>
          <w:rFonts w:ascii="Century Gothic" w:hAnsi="Century Gothic"/>
          <w:sz w:val="20"/>
          <w:szCs w:val="20"/>
        </w:rPr>
        <w:t>olicy</w:t>
      </w:r>
      <w:r w:rsidRPr="00A5247C">
        <w:rPr>
          <w:rFonts w:ascii="Century Gothic" w:hAnsi="Century Gothic"/>
          <w:sz w:val="20"/>
          <w:szCs w:val="20"/>
        </w:rPr>
        <w:t xml:space="preserve"> </w:t>
      </w:r>
      <w:r w:rsidR="007E3774" w:rsidRPr="00A5247C">
        <w:rPr>
          <w:rFonts w:ascii="Century Gothic" w:hAnsi="Century Gothic"/>
          <w:sz w:val="20"/>
          <w:szCs w:val="20"/>
        </w:rPr>
        <w:t>P</w:t>
      </w:r>
      <w:r w:rsidRPr="00A5247C">
        <w:rPr>
          <w:rFonts w:ascii="Century Gothic" w:hAnsi="Century Gothic"/>
          <w:sz w:val="20"/>
          <w:szCs w:val="20"/>
        </w:rPr>
        <w:t>aper</w:t>
      </w:r>
      <w:r w:rsidR="00610469" w:rsidRPr="00A5247C">
        <w:rPr>
          <w:rFonts w:ascii="Century Gothic" w:hAnsi="Century Gothic"/>
          <w:sz w:val="20"/>
          <w:szCs w:val="20"/>
        </w:rPr>
        <w:t>. Crypto asset</w:t>
      </w:r>
      <w:r w:rsidR="001302E3" w:rsidRPr="00A5247C">
        <w:rPr>
          <w:rFonts w:ascii="Century Gothic" w:hAnsi="Century Gothic"/>
          <w:sz w:val="20"/>
          <w:szCs w:val="20"/>
        </w:rPr>
        <w:t>-</w:t>
      </w:r>
      <w:r w:rsidR="00610469" w:rsidRPr="00A5247C">
        <w:rPr>
          <w:rFonts w:ascii="Century Gothic" w:hAnsi="Century Gothic"/>
          <w:sz w:val="20"/>
          <w:szCs w:val="20"/>
        </w:rPr>
        <w:t xml:space="preserve">related activities which do not fall within the ambit of "crypto asset services" will continue to operate in an unregulated environment until determined otherwise by the relevant regulators. </w:t>
      </w:r>
      <w:r w:rsidRPr="00A5247C">
        <w:rPr>
          <w:rFonts w:ascii="Century Gothic" w:hAnsi="Century Gothic"/>
          <w:sz w:val="20"/>
          <w:szCs w:val="20"/>
        </w:rPr>
        <w:t>The</w:t>
      </w:r>
      <w:r w:rsidR="00610469" w:rsidRPr="00A5247C">
        <w:rPr>
          <w:rFonts w:ascii="Century Gothic" w:hAnsi="Century Gothic"/>
          <w:sz w:val="20"/>
          <w:szCs w:val="20"/>
        </w:rPr>
        <w:t xml:space="preserve"> </w:t>
      </w:r>
      <w:r w:rsidRPr="00A5247C">
        <w:rPr>
          <w:rFonts w:ascii="Century Gothic" w:hAnsi="Century Gothic"/>
          <w:sz w:val="20"/>
          <w:szCs w:val="20"/>
        </w:rPr>
        <w:t>Crypto</w:t>
      </w:r>
      <w:r w:rsidR="00610469" w:rsidRPr="00A5247C">
        <w:rPr>
          <w:rFonts w:ascii="Century Gothic" w:hAnsi="Century Gothic"/>
          <w:sz w:val="20"/>
          <w:szCs w:val="20"/>
        </w:rPr>
        <w:t xml:space="preserve"> Asset </w:t>
      </w:r>
      <w:r w:rsidRPr="00A5247C">
        <w:rPr>
          <w:rFonts w:ascii="Century Gothic" w:hAnsi="Century Gothic"/>
          <w:sz w:val="20"/>
          <w:szCs w:val="20"/>
        </w:rPr>
        <w:t>Policy Paper</w:t>
      </w:r>
      <w:r w:rsidR="00610469" w:rsidRPr="00A5247C">
        <w:rPr>
          <w:rFonts w:ascii="Century Gothic" w:hAnsi="Century Gothic"/>
          <w:sz w:val="20"/>
          <w:szCs w:val="20"/>
        </w:rPr>
        <w:t xml:space="preserve"> </w:t>
      </w:r>
      <w:r w:rsidRPr="00A5247C">
        <w:rPr>
          <w:rFonts w:ascii="Century Gothic" w:hAnsi="Century Gothic"/>
          <w:sz w:val="20"/>
          <w:szCs w:val="20"/>
        </w:rPr>
        <w:t>sets out the type</w:t>
      </w:r>
      <w:r w:rsidR="007E3774" w:rsidRPr="00A5247C">
        <w:rPr>
          <w:rFonts w:ascii="Century Gothic" w:hAnsi="Century Gothic"/>
          <w:sz w:val="20"/>
          <w:szCs w:val="20"/>
        </w:rPr>
        <w:t>s</w:t>
      </w:r>
      <w:r w:rsidRPr="00A5247C">
        <w:rPr>
          <w:rFonts w:ascii="Century Gothic" w:hAnsi="Century Gothic"/>
          <w:sz w:val="20"/>
          <w:szCs w:val="20"/>
        </w:rPr>
        <w:t xml:space="preserve"> of CASPs</w:t>
      </w:r>
      <w:r w:rsidR="00610469" w:rsidRPr="00A5247C">
        <w:rPr>
          <w:rFonts w:ascii="Century Gothic" w:hAnsi="Century Gothic"/>
          <w:sz w:val="20"/>
          <w:szCs w:val="20"/>
        </w:rPr>
        <w:t xml:space="preserve"> that will be subject to regulation</w:t>
      </w:r>
      <w:r w:rsidR="001302E3" w:rsidRPr="00A5247C">
        <w:rPr>
          <w:rFonts w:ascii="Century Gothic" w:hAnsi="Century Gothic"/>
          <w:sz w:val="20"/>
          <w:szCs w:val="20"/>
        </w:rPr>
        <w:t>. These</w:t>
      </w:r>
      <w:r w:rsidRPr="00A5247C">
        <w:rPr>
          <w:rFonts w:ascii="Century Gothic" w:hAnsi="Century Gothic"/>
          <w:sz w:val="20"/>
          <w:szCs w:val="20"/>
        </w:rPr>
        <w:t xml:space="preserve"> include</w:t>
      </w:r>
      <w:r w:rsidR="00610469" w:rsidRPr="00A5247C">
        <w:rPr>
          <w:rFonts w:ascii="Century Gothic" w:hAnsi="Century Gothic"/>
          <w:sz w:val="20"/>
          <w:szCs w:val="20"/>
        </w:rPr>
        <w:t xml:space="preserve"> </w:t>
      </w:r>
      <w:r w:rsidR="006D3233" w:rsidRPr="00A5247C">
        <w:rPr>
          <w:rFonts w:ascii="Century Gothic" w:hAnsi="Century Gothic"/>
          <w:sz w:val="20"/>
          <w:szCs w:val="20"/>
        </w:rPr>
        <w:t>trading platforms</w:t>
      </w:r>
      <w:r w:rsidR="00610469" w:rsidRPr="00A5247C">
        <w:rPr>
          <w:rFonts w:ascii="Century Gothic" w:hAnsi="Century Gothic"/>
          <w:sz w:val="20"/>
          <w:szCs w:val="20"/>
        </w:rPr>
        <w:t xml:space="preserve">, </w:t>
      </w:r>
      <w:r w:rsidR="006D3233" w:rsidRPr="00A5247C">
        <w:rPr>
          <w:rFonts w:ascii="Century Gothic" w:hAnsi="Century Gothic"/>
          <w:sz w:val="20"/>
          <w:szCs w:val="20"/>
        </w:rPr>
        <w:t>intermediaries</w:t>
      </w:r>
      <w:r w:rsidR="00610469" w:rsidRPr="00A5247C">
        <w:rPr>
          <w:rFonts w:ascii="Century Gothic" w:hAnsi="Century Gothic"/>
          <w:sz w:val="20"/>
          <w:szCs w:val="20"/>
        </w:rPr>
        <w:t xml:space="preserve"> involved in the buying and selling of crypto assets</w:t>
      </w:r>
      <w:r w:rsidR="006D3233" w:rsidRPr="00A5247C">
        <w:rPr>
          <w:rFonts w:ascii="Century Gothic" w:hAnsi="Century Gothic"/>
          <w:sz w:val="20"/>
          <w:szCs w:val="20"/>
        </w:rPr>
        <w:t>, the providers of custodial wallets</w:t>
      </w:r>
      <w:r w:rsidR="001302E3" w:rsidRPr="00A5247C">
        <w:rPr>
          <w:rFonts w:ascii="Century Gothic" w:hAnsi="Century Gothic"/>
          <w:sz w:val="20"/>
          <w:szCs w:val="20"/>
        </w:rPr>
        <w:t>, and</w:t>
      </w:r>
      <w:r w:rsidR="00610469" w:rsidRPr="00A5247C">
        <w:rPr>
          <w:rFonts w:ascii="Century Gothic" w:hAnsi="Century Gothic"/>
          <w:sz w:val="20"/>
          <w:szCs w:val="20"/>
        </w:rPr>
        <w:t xml:space="preserve"> the providers of </w:t>
      </w:r>
      <w:r w:rsidR="006D3233" w:rsidRPr="00A5247C">
        <w:rPr>
          <w:rFonts w:ascii="Century Gothic" w:hAnsi="Century Gothic"/>
          <w:sz w:val="20"/>
          <w:szCs w:val="20"/>
        </w:rPr>
        <w:t>investment</w:t>
      </w:r>
      <w:r w:rsidR="00610469" w:rsidRPr="00A5247C">
        <w:rPr>
          <w:rFonts w:ascii="Century Gothic" w:hAnsi="Century Gothic"/>
          <w:sz w:val="20"/>
          <w:szCs w:val="20"/>
        </w:rPr>
        <w:t xml:space="preserve"> fund</w:t>
      </w:r>
      <w:r w:rsidR="006D3233" w:rsidRPr="00A5247C">
        <w:rPr>
          <w:rFonts w:ascii="Century Gothic" w:hAnsi="Century Gothic"/>
          <w:sz w:val="20"/>
          <w:szCs w:val="20"/>
        </w:rPr>
        <w:t>s</w:t>
      </w:r>
      <w:r w:rsidR="00610469" w:rsidRPr="00A5247C">
        <w:rPr>
          <w:rFonts w:ascii="Century Gothic" w:hAnsi="Century Gothic"/>
          <w:sz w:val="20"/>
          <w:szCs w:val="20"/>
        </w:rPr>
        <w:t xml:space="preserve"> or </w:t>
      </w:r>
      <w:r w:rsidR="006D3233" w:rsidRPr="00A5247C">
        <w:rPr>
          <w:rFonts w:ascii="Century Gothic" w:hAnsi="Century Gothic"/>
          <w:sz w:val="20"/>
          <w:szCs w:val="20"/>
        </w:rPr>
        <w:t>derivative options</w:t>
      </w:r>
      <w:r w:rsidR="00610469" w:rsidRPr="00A5247C">
        <w:rPr>
          <w:rFonts w:ascii="Century Gothic" w:hAnsi="Century Gothic"/>
          <w:sz w:val="20"/>
          <w:szCs w:val="20"/>
        </w:rPr>
        <w:t xml:space="preserve"> underpinned by </w:t>
      </w:r>
      <w:r w:rsidR="006D3233" w:rsidRPr="00A5247C">
        <w:rPr>
          <w:rFonts w:ascii="Century Gothic" w:hAnsi="Century Gothic"/>
          <w:sz w:val="20"/>
          <w:szCs w:val="20"/>
        </w:rPr>
        <w:t>crypto</w:t>
      </w:r>
      <w:r w:rsidR="00610469" w:rsidRPr="00A5247C">
        <w:rPr>
          <w:rFonts w:ascii="Century Gothic" w:hAnsi="Century Gothic"/>
          <w:sz w:val="20"/>
          <w:szCs w:val="20"/>
        </w:rPr>
        <w:t xml:space="preserve"> assets. However, </w:t>
      </w:r>
      <w:r w:rsidR="006D3233" w:rsidRPr="00A5247C">
        <w:rPr>
          <w:rFonts w:ascii="Century Gothic" w:hAnsi="Century Gothic"/>
          <w:sz w:val="20"/>
          <w:szCs w:val="20"/>
        </w:rPr>
        <w:t xml:space="preserve">providers of </w:t>
      </w:r>
      <w:r w:rsidR="00610469" w:rsidRPr="00A5247C">
        <w:rPr>
          <w:rFonts w:ascii="Century Gothic" w:hAnsi="Century Gothic"/>
          <w:sz w:val="20"/>
          <w:szCs w:val="20"/>
        </w:rPr>
        <w:t>services such as non-custodia</w:t>
      </w:r>
      <w:r w:rsidR="006D3233" w:rsidRPr="00A5247C">
        <w:rPr>
          <w:rFonts w:ascii="Century Gothic" w:hAnsi="Century Gothic"/>
          <w:sz w:val="20"/>
          <w:szCs w:val="20"/>
        </w:rPr>
        <w:t>l</w:t>
      </w:r>
      <w:r w:rsidR="00610469" w:rsidRPr="00A5247C">
        <w:rPr>
          <w:rFonts w:ascii="Century Gothic" w:hAnsi="Century Gothic"/>
          <w:sz w:val="20"/>
          <w:szCs w:val="20"/>
        </w:rPr>
        <w:t xml:space="preserve"> wallet</w:t>
      </w:r>
      <w:r w:rsidR="006D3233" w:rsidRPr="00A5247C">
        <w:rPr>
          <w:rFonts w:ascii="Century Gothic" w:hAnsi="Century Gothic"/>
          <w:sz w:val="20"/>
          <w:szCs w:val="20"/>
        </w:rPr>
        <w:t>s</w:t>
      </w:r>
      <w:r w:rsidR="00610469" w:rsidRPr="00A5247C">
        <w:rPr>
          <w:rFonts w:ascii="Century Gothic" w:hAnsi="Century Gothic"/>
          <w:sz w:val="20"/>
          <w:szCs w:val="20"/>
        </w:rPr>
        <w:t xml:space="preserve"> and crypto </w:t>
      </w:r>
      <w:r w:rsidR="006D3233" w:rsidRPr="00A5247C">
        <w:rPr>
          <w:rFonts w:ascii="Century Gothic" w:hAnsi="Century Gothic"/>
          <w:sz w:val="20"/>
          <w:szCs w:val="20"/>
        </w:rPr>
        <w:t xml:space="preserve">asset </w:t>
      </w:r>
      <w:r w:rsidR="00610469" w:rsidRPr="00A5247C">
        <w:rPr>
          <w:rFonts w:ascii="Century Gothic" w:hAnsi="Century Gothic"/>
          <w:sz w:val="20"/>
          <w:szCs w:val="20"/>
        </w:rPr>
        <w:t xml:space="preserve">mining </w:t>
      </w:r>
      <w:r w:rsidR="006D3233" w:rsidRPr="00A5247C">
        <w:rPr>
          <w:rFonts w:ascii="Century Gothic" w:hAnsi="Century Gothic"/>
          <w:sz w:val="20"/>
          <w:szCs w:val="20"/>
        </w:rPr>
        <w:t>will not be subject to regulation.</w:t>
      </w:r>
    </w:p>
    <w:p w14:paraId="098607AD" w14:textId="5CEEF3E6" w:rsidR="006D3233" w:rsidRPr="00A5247C" w:rsidRDefault="006D3233" w:rsidP="00610469">
      <w:pPr>
        <w:pStyle w:val="WWBodyText"/>
        <w:rPr>
          <w:rFonts w:ascii="Century Gothic" w:hAnsi="Century Gothic"/>
          <w:sz w:val="20"/>
          <w:szCs w:val="20"/>
          <w:u w:val="single"/>
        </w:rPr>
      </w:pPr>
      <w:r w:rsidRPr="00A5247C">
        <w:rPr>
          <w:rFonts w:ascii="Century Gothic" w:hAnsi="Century Gothic"/>
          <w:sz w:val="20"/>
          <w:szCs w:val="20"/>
          <w:u w:val="single"/>
        </w:rPr>
        <w:t>How will CASPs be supervised?</w:t>
      </w:r>
    </w:p>
    <w:p w14:paraId="3C1A84CF" w14:textId="2B8B2605" w:rsidR="007E597F" w:rsidRPr="00A5247C" w:rsidRDefault="006D3233" w:rsidP="00610469">
      <w:pPr>
        <w:pStyle w:val="WWBodyText"/>
        <w:rPr>
          <w:rFonts w:ascii="Century Gothic" w:hAnsi="Century Gothic"/>
          <w:sz w:val="20"/>
          <w:szCs w:val="20"/>
        </w:rPr>
      </w:pPr>
      <w:r w:rsidRPr="00A5247C">
        <w:rPr>
          <w:rFonts w:ascii="Century Gothic" w:hAnsi="Century Gothic"/>
          <w:sz w:val="20"/>
          <w:szCs w:val="20"/>
        </w:rPr>
        <w:t>Entities that</w:t>
      </w:r>
      <w:r w:rsidR="007E597F" w:rsidRPr="00A5247C">
        <w:rPr>
          <w:rFonts w:ascii="Century Gothic" w:hAnsi="Century Gothic"/>
          <w:sz w:val="20"/>
          <w:szCs w:val="20"/>
        </w:rPr>
        <w:t xml:space="preserve"> are regarded as CASPs </w:t>
      </w:r>
      <w:r w:rsidR="00610469" w:rsidRPr="00A5247C">
        <w:rPr>
          <w:rFonts w:ascii="Century Gothic" w:hAnsi="Century Gothic"/>
          <w:sz w:val="20"/>
          <w:szCs w:val="20"/>
        </w:rPr>
        <w:t>will be</w:t>
      </w:r>
      <w:r w:rsidR="001302E3" w:rsidRPr="00A5247C">
        <w:rPr>
          <w:rFonts w:ascii="Century Gothic" w:hAnsi="Century Gothic"/>
          <w:sz w:val="20"/>
          <w:szCs w:val="20"/>
        </w:rPr>
        <w:t xml:space="preserve"> </w:t>
      </w:r>
      <w:r w:rsidR="00610469" w:rsidRPr="00A5247C">
        <w:rPr>
          <w:rFonts w:ascii="Century Gothic" w:hAnsi="Century Gothic"/>
          <w:sz w:val="20"/>
          <w:szCs w:val="20"/>
        </w:rPr>
        <w:t xml:space="preserve">subject to </w:t>
      </w:r>
      <w:r w:rsidR="007E597F" w:rsidRPr="00A5247C">
        <w:rPr>
          <w:rFonts w:ascii="Century Gothic" w:hAnsi="Century Gothic"/>
          <w:sz w:val="20"/>
          <w:szCs w:val="20"/>
        </w:rPr>
        <w:t>licen</w:t>
      </w:r>
      <w:r w:rsidR="001302E3" w:rsidRPr="00A5247C">
        <w:rPr>
          <w:rFonts w:ascii="Century Gothic" w:hAnsi="Century Gothic"/>
          <w:sz w:val="20"/>
          <w:szCs w:val="20"/>
        </w:rPr>
        <w:t>s</w:t>
      </w:r>
      <w:r w:rsidR="007E597F" w:rsidRPr="00A5247C">
        <w:rPr>
          <w:rFonts w:ascii="Century Gothic" w:hAnsi="Century Gothic"/>
          <w:sz w:val="20"/>
          <w:szCs w:val="20"/>
        </w:rPr>
        <w:t>ing requirements as well as</w:t>
      </w:r>
      <w:r w:rsidR="00610469" w:rsidRPr="00A5247C">
        <w:rPr>
          <w:rFonts w:ascii="Century Gothic" w:hAnsi="Century Gothic"/>
          <w:sz w:val="20"/>
          <w:szCs w:val="20"/>
        </w:rPr>
        <w:t xml:space="preserve"> compliance </w:t>
      </w:r>
      <w:r w:rsidR="007E597F" w:rsidRPr="00A5247C">
        <w:rPr>
          <w:rFonts w:ascii="Century Gothic" w:hAnsi="Century Gothic"/>
          <w:sz w:val="20"/>
          <w:szCs w:val="20"/>
        </w:rPr>
        <w:t>and reporting obligations</w:t>
      </w:r>
      <w:r w:rsidR="00610469" w:rsidRPr="00A5247C">
        <w:rPr>
          <w:rFonts w:ascii="Century Gothic" w:hAnsi="Century Gothic"/>
          <w:sz w:val="20"/>
          <w:szCs w:val="20"/>
        </w:rPr>
        <w:t xml:space="preserve"> </w:t>
      </w:r>
      <w:r w:rsidR="007E597F" w:rsidRPr="00A5247C">
        <w:rPr>
          <w:rFonts w:ascii="Century Gothic" w:hAnsi="Century Gothic"/>
          <w:sz w:val="20"/>
          <w:szCs w:val="20"/>
        </w:rPr>
        <w:t>under</w:t>
      </w:r>
      <w:r w:rsidR="00610469" w:rsidRPr="00A5247C">
        <w:rPr>
          <w:rFonts w:ascii="Century Gothic" w:hAnsi="Century Gothic"/>
          <w:sz w:val="20"/>
          <w:szCs w:val="20"/>
        </w:rPr>
        <w:t xml:space="preserve"> any or </w:t>
      </w:r>
      <w:proofErr w:type="gramStart"/>
      <w:r w:rsidR="00610469" w:rsidRPr="00A5247C">
        <w:rPr>
          <w:rFonts w:ascii="Century Gothic" w:hAnsi="Century Gothic"/>
          <w:sz w:val="20"/>
          <w:szCs w:val="20"/>
        </w:rPr>
        <w:t>all of</w:t>
      </w:r>
      <w:proofErr w:type="gramEnd"/>
      <w:r w:rsidR="00610469" w:rsidRPr="00A5247C">
        <w:rPr>
          <w:rFonts w:ascii="Century Gothic" w:hAnsi="Century Gothic"/>
          <w:sz w:val="20"/>
          <w:szCs w:val="20"/>
        </w:rPr>
        <w:t xml:space="preserve"> the following </w:t>
      </w:r>
      <w:r w:rsidR="007E597F" w:rsidRPr="00A5247C">
        <w:rPr>
          <w:rFonts w:ascii="Century Gothic" w:hAnsi="Century Gothic"/>
          <w:sz w:val="20"/>
          <w:szCs w:val="20"/>
        </w:rPr>
        <w:t xml:space="preserve">existing </w:t>
      </w:r>
      <w:r w:rsidR="00610469" w:rsidRPr="00A5247C">
        <w:rPr>
          <w:rFonts w:ascii="Century Gothic" w:hAnsi="Century Gothic"/>
          <w:sz w:val="20"/>
          <w:szCs w:val="20"/>
        </w:rPr>
        <w:t>regulatory regimes:</w:t>
      </w:r>
    </w:p>
    <w:p w14:paraId="4C41CB56" w14:textId="5624B049" w:rsidR="00610469" w:rsidRPr="00A5247C" w:rsidRDefault="00610469" w:rsidP="00017F40">
      <w:pPr>
        <w:pStyle w:val="WWBodyText"/>
        <w:numPr>
          <w:ilvl w:val="0"/>
          <w:numId w:val="20"/>
        </w:numPr>
        <w:rPr>
          <w:rFonts w:ascii="Century Gothic" w:hAnsi="Century Gothic"/>
          <w:sz w:val="20"/>
          <w:szCs w:val="20"/>
        </w:rPr>
      </w:pPr>
      <w:r w:rsidRPr="00A5247C">
        <w:rPr>
          <w:rFonts w:ascii="Century Gothic" w:hAnsi="Century Gothic"/>
          <w:sz w:val="20"/>
          <w:szCs w:val="20"/>
        </w:rPr>
        <w:t xml:space="preserve">Anti-money </w:t>
      </w:r>
      <w:r w:rsidR="007E597F" w:rsidRPr="00A5247C">
        <w:rPr>
          <w:rFonts w:ascii="Century Gothic" w:hAnsi="Century Gothic"/>
          <w:sz w:val="20"/>
          <w:szCs w:val="20"/>
        </w:rPr>
        <w:t xml:space="preserve">laundering </w:t>
      </w:r>
      <w:r w:rsidRPr="00A5247C">
        <w:rPr>
          <w:rFonts w:ascii="Century Gothic" w:hAnsi="Century Gothic"/>
          <w:sz w:val="20"/>
          <w:szCs w:val="20"/>
        </w:rPr>
        <w:t xml:space="preserve">regulations (FICA) under the oversight of the Financial Intelligence </w:t>
      </w:r>
      <w:proofErr w:type="gramStart"/>
      <w:r w:rsidRPr="00A5247C">
        <w:rPr>
          <w:rFonts w:ascii="Century Gothic" w:hAnsi="Century Gothic"/>
          <w:sz w:val="20"/>
          <w:szCs w:val="20"/>
        </w:rPr>
        <w:t>Centre;</w:t>
      </w:r>
      <w:proofErr w:type="gramEnd"/>
    </w:p>
    <w:p w14:paraId="57AF13EA" w14:textId="77777777" w:rsidR="007E597F" w:rsidRPr="00A5247C" w:rsidRDefault="00610469" w:rsidP="00017F40">
      <w:pPr>
        <w:pStyle w:val="WWBodyText"/>
        <w:numPr>
          <w:ilvl w:val="0"/>
          <w:numId w:val="20"/>
        </w:numPr>
        <w:rPr>
          <w:rFonts w:ascii="Century Gothic" w:hAnsi="Century Gothic"/>
          <w:sz w:val="20"/>
          <w:szCs w:val="20"/>
        </w:rPr>
      </w:pPr>
      <w:r w:rsidRPr="00A5247C">
        <w:rPr>
          <w:rFonts w:ascii="Century Gothic" w:hAnsi="Century Gothic"/>
          <w:sz w:val="20"/>
          <w:szCs w:val="20"/>
        </w:rPr>
        <w:t xml:space="preserve">Exchange control regulations under the oversight of the South African </w:t>
      </w:r>
      <w:r w:rsidR="007E597F" w:rsidRPr="00A5247C">
        <w:rPr>
          <w:rFonts w:ascii="Century Gothic" w:hAnsi="Century Gothic"/>
          <w:sz w:val="20"/>
          <w:szCs w:val="20"/>
        </w:rPr>
        <w:t>Re</w:t>
      </w:r>
      <w:r w:rsidRPr="00A5247C">
        <w:rPr>
          <w:rFonts w:ascii="Century Gothic" w:hAnsi="Century Gothic"/>
          <w:sz w:val="20"/>
          <w:szCs w:val="20"/>
        </w:rPr>
        <w:t>serve Bank (</w:t>
      </w:r>
      <w:r w:rsidR="007E597F" w:rsidRPr="00A5247C">
        <w:rPr>
          <w:rFonts w:ascii="Century Gothic" w:hAnsi="Century Gothic"/>
          <w:sz w:val="20"/>
          <w:szCs w:val="20"/>
        </w:rPr>
        <w:t>financial</w:t>
      </w:r>
      <w:r w:rsidRPr="00A5247C">
        <w:rPr>
          <w:rFonts w:ascii="Century Gothic" w:hAnsi="Century Gothic"/>
          <w:sz w:val="20"/>
          <w:szCs w:val="20"/>
        </w:rPr>
        <w:t xml:space="preserve"> surveillance </w:t>
      </w:r>
      <w:r w:rsidR="007E597F" w:rsidRPr="00A5247C">
        <w:rPr>
          <w:rFonts w:ascii="Century Gothic" w:hAnsi="Century Gothic"/>
          <w:sz w:val="20"/>
          <w:szCs w:val="20"/>
        </w:rPr>
        <w:t>department</w:t>
      </w:r>
      <w:r w:rsidRPr="00A5247C">
        <w:rPr>
          <w:rFonts w:ascii="Century Gothic" w:hAnsi="Century Gothic"/>
          <w:sz w:val="20"/>
          <w:szCs w:val="20"/>
        </w:rPr>
        <w:t>); and</w:t>
      </w:r>
    </w:p>
    <w:p w14:paraId="47FD59BE" w14:textId="398A8F79" w:rsidR="00610469" w:rsidRPr="00A5247C" w:rsidRDefault="007E597F" w:rsidP="00017F40">
      <w:pPr>
        <w:pStyle w:val="WWBodyText"/>
        <w:numPr>
          <w:ilvl w:val="0"/>
          <w:numId w:val="20"/>
        </w:numPr>
        <w:rPr>
          <w:rFonts w:ascii="Century Gothic" w:hAnsi="Century Gothic"/>
          <w:sz w:val="20"/>
          <w:szCs w:val="20"/>
        </w:rPr>
      </w:pPr>
      <w:r w:rsidRPr="00A5247C">
        <w:rPr>
          <w:rFonts w:ascii="Century Gothic" w:hAnsi="Century Gothic"/>
          <w:sz w:val="20"/>
          <w:szCs w:val="20"/>
        </w:rPr>
        <w:t>F</w:t>
      </w:r>
      <w:r w:rsidR="00610469" w:rsidRPr="00A5247C">
        <w:rPr>
          <w:rFonts w:ascii="Century Gothic" w:hAnsi="Century Gothic"/>
          <w:sz w:val="20"/>
          <w:szCs w:val="20"/>
        </w:rPr>
        <w:t>inancial services regulations under the oversight of the Financial Sector Conduct Authority</w:t>
      </w:r>
    </w:p>
    <w:p w14:paraId="5D68AED4" w14:textId="4A6EA150" w:rsidR="00610469" w:rsidRPr="00A5247C" w:rsidRDefault="00610469" w:rsidP="00610469">
      <w:pPr>
        <w:pStyle w:val="WWBodyText"/>
        <w:rPr>
          <w:rFonts w:ascii="Century Gothic" w:hAnsi="Century Gothic"/>
          <w:sz w:val="20"/>
          <w:szCs w:val="20"/>
          <w:u w:val="single"/>
        </w:rPr>
      </w:pPr>
      <w:r w:rsidRPr="00A5247C">
        <w:rPr>
          <w:rFonts w:ascii="Century Gothic" w:hAnsi="Century Gothic"/>
          <w:sz w:val="20"/>
          <w:szCs w:val="20"/>
          <w:u w:val="single"/>
        </w:rPr>
        <w:t xml:space="preserve">A phased </w:t>
      </w:r>
      <w:r w:rsidR="007E597F" w:rsidRPr="00A5247C">
        <w:rPr>
          <w:rFonts w:ascii="Century Gothic" w:hAnsi="Century Gothic"/>
          <w:sz w:val="20"/>
          <w:szCs w:val="20"/>
          <w:u w:val="single"/>
        </w:rPr>
        <w:t>approach</w:t>
      </w:r>
      <w:r w:rsidRPr="00A5247C">
        <w:rPr>
          <w:rFonts w:ascii="Century Gothic" w:hAnsi="Century Gothic"/>
          <w:sz w:val="20"/>
          <w:szCs w:val="20"/>
          <w:u w:val="single"/>
        </w:rPr>
        <w:t xml:space="preserve"> to regulation</w:t>
      </w:r>
    </w:p>
    <w:p w14:paraId="1407EEEF" w14:textId="29D1C630" w:rsidR="00610469" w:rsidRPr="00A5247C" w:rsidRDefault="00610469" w:rsidP="00610469">
      <w:pPr>
        <w:pStyle w:val="WWBodyText"/>
        <w:rPr>
          <w:rFonts w:ascii="Century Gothic" w:hAnsi="Century Gothic"/>
          <w:sz w:val="20"/>
          <w:szCs w:val="20"/>
        </w:rPr>
      </w:pPr>
      <w:r w:rsidRPr="00A5247C">
        <w:rPr>
          <w:rFonts w:ascii="Century Gothic" w:hAnsi="Century Gothic"/>
          <w:sz w:val="20"/>
          <w:szCs w:val="20"/>
        </w:rPr>
        <w:t xml:space="preserve">The </w:t>
      </w:r>
      <w:r w:rsidR="007E3774" w:rsidRPr="00A5247C">
        <w:rPr>
          <w:rFonts w:ascii="Century Gothic" w:hAnsi="Century Gothic"/>
          <w:sz w:val="20"/>
          <w:szCs w:val="20"/>
        </w:rPr>
        <w:t>C</w:t>
      </w:r>
      <w:r w:rsidR="007E597F" w:rsidRPr="00A5247C">
        <w:rPr>
          <w:rFonts w:ascii="Century Gothic" w:hAnsi="Century Gothic"/>
          <w:sz w:val="20"/>
          <w:szCs w:val="20"/>
        </w:rPr>
        <w:t>rypto</w:t>
      </w:r>
      <w:r w:rsidRPr="00A5247C">
        <w:rPr>
          <w:rFonts w:ascii="Century Gothic" w:hAnsi="Century Gothic"/>
          <w:sz w:val="20"/>
          <w:szCs w:val="20"/>
        </w:rPr>
        <w:t xml:space="preserve"> </w:t>
      </w:r>
      <w:r w:rsidR="007E3774" w:rsidRPr="00A5247C">
        <w:rPr>
          <w:rFonts w:ascii="Century Gothic" w:hAnsi="Century Gothic"/>
          <w:sz w:val="20"/>
          <w:szCs w:val="20"/>
        </w:rPr>
        <w:t>A</w:t>
      </w:r>
      <w:r w:rsidRPr="00A5247C">
        <w:rPr>
          <w:rFonts w:ascii="Century Gothic" w:hAnsi="Century Gothic"/>
          <w:sz w:val="20"/>
          <w:szCs w:val="20"/>
        </w:rPr>
        <w:t xml:space="preserve">sset </w:t>
      </w:r>
      <w:r w:rsidR="007E3774" w:rsidRPr="00A5247C">
        <w:rPr>
          <w:rFonts w:ascii="Century Gothic" w:hAnsi="Century Gothic"/>
          <w:sz w:val="20"/>
          <w:szCs w:val="20"/>
        </w:rPr>
        <w:t>P</w:t>
      </w:r>
      <w:r w:rsidRPr="00A5247C">
        <w:rPr>
          <w:rFonts w:ascii="Century Gothic" w:hAnsi="Century Gothic"/>
          <w:sz w:val="20"/>
          <w:szCs w:val="20"/>
        </w:rPr>
        <w:t xml:space="preserve">olicy </w:t>
      </w:r>
      <w:r w:rsidR="007E3774" w:rsidRPr="00A5247C">
        <w:rPr>
          <w:rFonts w:ascii="Century Gothic" w:hAnsi="Century Gothic"/>
          <w:sz w:val="20"/>
          <w:szCs w:val="20"/>
        </w:rPr>
        <w:t>P</w:t>
      </w:r>
      <w:r w:rsidRPr="00A5247C">
        <w:rPr>
          <w:rFonts w:ascii="Century Gothic" w:hAnsi="Century Gothic"/>
          <w:sz w:val="20"/>
          <w:szCs w:val="20"/>
        </w:rPr>
        <w:t xml:space="preserve">aper </w:t>
      </w:r>
      <w:r w:rsidR="007E597F" w:rsidRPr="00A5247C">
        <w:rPr>
          <w:rFonts w:ascii="Century Gothic" w:hAnsi="Century Gothic"/>
          <w:sz w:val="20"/>
          <w:szCs w:val="20"/>
        </w:rPr>
        <w:t>constitutes</w:t>
      </w:r>
      <w:r w:rsidRPr="00A5247C">
        <w:rPr>
          <w:rFonts w:ascii="Century Gothic" w:hAnsi="Century Gothic"/>
          <w:sz w:val="20"/>
          <w:szCs w:val="20"/>
        </w:rPr>
        <w:t xml:space="preserve"> a mandate given by the IFWG to the relevant South African </w:t>
      </w:r>
      <w:r w:rsidR="007E597F" w:rsidRPr="00A5247C">
        <w:rPr>
          <w:rFonts w:ascii="Century Gothic" w:hAnsi="Century Gothic"/>
          <w:sz w:val="20"/>
          <w:szCs w:val="20"/>
        </w:rPr>
        <w:t>regulators</w:t>
      </w:r>
      <w:r w:rsidRPr="00A5247C">
        <w:rPr>
          <w:rFonts w:ascii="Century Gothic" w:hAnsi="Century Gothic"/>
          <w:sz w:val="20"/>
          <w:szCs w:val="20"/>
        </w:rPr>
        <w:t xml:space="preserve"> to take the necessary regulatory steps to </w:t>
      </w:r>
      <w:r w:rsidR="007E597F" w:rsidRPr="00A5247C">
        <w:rPr>
          <w:rFonts w:ascii="Century Gothic" w:hAnsi="Century Gothic"/>
          <w:sz w:val="20"/>
          <w:szCs w:val="20"/>
        </w:rPr>
        <w:t>implement</w:t>
      </w:r>
      <w:r w:rsidRPr="00A5247C">
        <w:rPr>
          <w:rFonts w:ascii="Century Gothic" w:hAnsi="Century Gothic"/>
          <w:sz w:val="20"/>
          <w:szCs w:val="20"/>
        </w:rPr>
        <w:t xml:space="preserve"> the 25 </w:t>
      </w:r>
      <w:r w:rsidR="007E597F" w:rsidRPr="00A5247C">
        <w:rPr>
          <w:rFonts w:ascii="Century Gothic" w:hAnsi="Century Gothic"/>
          <w:sz w:val="20"/>
          <w:szCs w:val="20"/>
        </w:rPr>
        <w:t>recommendations</w:t>
      </w:r>
      <w:r w:rsidRPr="00A5247C">
        <w:rPr>
          <w:rFonts w:ascii="Century Gothic" w:hAnsi="Century Gothic"/>
          <w:sz w:val="20"/>
          <w:szCs w:val="20"/>
        </w:rPr>
        <w:t xml:space="preserve"> set out in the policy paper</w:t>
      </w:r>
      <w:r w:rsidR="00502F51" w:rsidRPr="00A5247C">
        <w:rPr>
          <w:rFonts w:ascii="Century Gothic" w:hAnsi="Century Gothic"/>
          <w:sz w:val="20"/>
          <w:szCs w:val="20"/>
        </w:rPr>
        <w:t xml:space="preserve">. </w:t>
      </w:r>
      <w:proofErr w:type="gramStart"/>
      <w:r w:rsidR="00502F51" w:rsidRPr="00A5247C">
        <w:rPr>
          <w:rFonts w:ascii="Century Gothic" w:hAnsi="Century Gothic"/>
          <w:sz w:val="20"/>
          <w:szCs w:val="20"/>
        </w:rPr>
        <w:t>A number of</w:t>
      </w:r>
      <w:proofErr w:type="gramEnd"/>
      <w:r w:rsidR="00502F51" w:rsidRPr="00A5247C">
        <w:rPr>
          <w:rFonts w:ascii="Century Gothic" w:hAnsi="Century Gothic"/>
          <w:sz w:val="20"/>
          <w:szCs w:val="20"/>
        </w:rPr>
        <w:t xml:space="preserve"> recommendations will be implemented with the enactment of the Conduct of Financial Institutions</w:t>
      </w:r>
      <w:r w:rsidRPr="00A5247C">
        <w:rPr>
          <w:rFonts w:ascii="Century Gothic" w:hAnsi="Century Gothic"/>
          <w:sz w:val="20"/>
          <w:szCs w:val="20"/>
        </w:rPr>
        <w:t xml:space="preserve"> </w:t>
      </w:r>
      <w:r w:rsidR="00502F51" w:rsidRPr="00A5247C">
        <w:rPr>
          <w:rFonts w:ascii="Century Gothic" w:hAnsi="Century Gothic"/>
          <w:sz w:val="20"/>
          <w:szCs w:val="20"/>
        </w:rPr>
        <w:t xml:space="preserve">Bill </w:t>
      </w:r>
      <w:r w:rsidR="00E868C3" w:rsidRPr="00A5247C">
        <w:rPr>
          <w:rFonts w:ascii="Century Gothic" w:hAnsi="Century Gothic"/>
          <w:sz w:val="20"/>
          <w:szCs w:val="20"/>
        </w:rPr>
        <w:t xml:space="preserve">(the impending legislative reform </w:t>
      </w:r>
      <w:r w:rsidR="00503B6F" w:rsidRPr="00A5247C">
        <w:rPr>
          <w:rFonts w:ascii="Century Gothic" w:hAnsi="Century Gothic"/>
          <w:sz w:val="20"/>
          <w:szCs w:val="20"/>
        </w:rPr>
        <w:t>of</w:t>
      </w:r>
      <w:r w:rsidR="00E868C3" w:rsidRPr="00A5247C">
        <w:rPr>
          <w:rFonts w:ascii="Century Gothic" w:hAnsi="Century Gothic"/>
          <w:sz w:val="20"/>
          <w:szCs w:val="20"/>
        </w:rPr>
        <w:t xml:space="preserve"> market conduct regulation </w:t>
      </w:r>
      <w:r w:rsidR="007E3774" w:rsidRPr="00A5247C">
        <w:rPr>
          <w:rFonts w:ascii="Century Gothic" w:hAnsi="Century Gothic"/>
          <w:sz w:val="20"/>
          <w:szCs w:val="20"/>
        </w:rPr>
        <w:t>in</w:t>
      </w:r>
      <w:r w:rsidR="00E868C3" w:rsidRPr="00A5247C">
        <w:rPr>
          <w:rFonts w:ascii="Century Gothic" w:hAnsi="Century Gothic"/>
          <w:sz w:val="20"/>
          <w:szCs w:val="20"/>
        </w:rPr>
        <w:t xml:space="preserve"> the South African financial services sector). However, certain recommendations </w:t>
      </w:r>
      <w:r w:rsidR="00936042" w:rsidRPr="00A5247C">
        <w:rPr>
          <w:rFonts w:ascii="Century Gothic" w:hAnsi="Century Gothic"/>
          <w:sz w:val="20"/>
          <w:szCs w:val="20"/>
        </w:rPr>
        <w:t xml:space="preserve">are already being implemented, </w:t>
      </w:r>
      <w:r w:rsidR="00E868C3" w:rsidRPr="00A5247C">
        <w:rPr>
          <w:rFonts w:ascii="Century Gothic" w:hAnsi="Century Gothic"/>
          <w:sz w:val="20"/>
          <w:szCs w:val="20"/>
        </w:rPr>
        <w:t xml:space="preserve">with </w:t>
      </w:r>
      <w:r w:rsidR="007E3774" w:rsidRPr="00A5247C">
        <w:rPr>
          <w:rFonts w:ascii="Century Gothic" w:hAnsi="Century Gothic"/>
          <w:sz w:val="20"/>
          <w:szCs w:val="20"/>
        </w:rPr>
        <w:t xml:space="preserve">the following </w:t>
      </w:r>
      <w:r w:rsidR="00E868C3" w:rsidRPr="00A5247C">
        <w:rPr>
          <w:rFonts w:ascii="Century Gothic" w:hAnsi="Century Gothic"/>
          <w:sz w:val="20"/>
          <w:szCs w:val="20"/>
        </w:rPr>
        <w:t>proposed regulatory development</w:t>
      </w:r>
      <w:r w:rsidR="007E3774" w:rsidRPr="00A5247C">
        <w:rPr>
          <w:rFonts w:ascii="Century Gothic" w:hAnsi="Century Gothic"/>
          <w:sz w:val="20"/>
          <w:szCs w:val="20"/>
        </w:rPr>
        <w:t xml:space="preserve">s having </w:t>
      </w:r>
      <w:r w:rsidR="00E868C3" w:rsidRPr="00A5247C">
        <w:rPr>
          <w:rFonts w:ascii="Century Gothic" w:hAnsi="Century Gothic"/>
          <w:sz w:val="20"/>
          <w:szCs w:val="20"/>
        </w:rPr>
        <w:t>commenced in 2020:</w:t>
      </w:r>
    </w:p>
    <w:p w14:paraId="563D4DC6" w14:textId="5790E53C" w:rsidR="00610469" w:rsidRPr="00A5247C" w:rsidRDefault="00F05283" w:rsidP="00610469">
      <w:pPr>
        <w:pStyle w:val="WWBodyText"/>
        <w:rPr>
          <w:rFonts w:ascii="Century Gothic" w:hAnsi="Century Gothic"/>
          <w:sz w:val="20"/>
          <w:szCs w:val="20"/>
        </w:rPr>
      </w:pPr>
      <w:r w:rsidRPr="00A5247C">
        <w:rPr>
          <w:rFonts w:ascii="Century Gothic" w:hAnsi="Century Gothic"/>
          <w:b/>
          <w:bCs/>
          <w:sz w:val="20"/>
          <w:szCs w:val="20"/>
        </w:rPr>
        <w:t>T</w:t>
      </w:r>
      <w:r w:rsidR="00610469" w:rsidRPr="00A5247C">
        <w:rPr>
          <w:rFonts w:ascii="Century Gothic" w:hAnsi="Century Gothic"/>
          <w:b/>
          <w:bCs/>
          <w:sz w:val="20"/>
          <w:szCs w:val="20"/>
        </w:rPr>
        <w:t xml:space="preserve">he </w:t>
      </w:r>
      <w:r w:rsidRPr="00A5247C">
        <w:rPr>
          <w:rFonts w:ascii="Century Gothic" w:hAnsi="Century Gothic"/>
          <w:b/>
          <w:bCs/>
          <w:sz w:val="20"/>
          <w:szCs w:val="20"/>
        </w:rPr>
        <w:t>proposed</w:t>
      </w:r>
      <w:r w:rsidR="00610469" w:rsidRPr="00A5247C">
        <w:rPr>
          <w:rFonts w:ascii="Century Gothic" w:hAnsi="Century Gothic"/>
          <w:b/>
          <w:bCs/>
          <w:sz w:val="20"/>
          <w:szCs w:val="20"/>
        </w:rPr>
        <w:t xml:space="preserve"> amendment </w:t>
      </w:r>
      <w:r w:rsidRPr="00A5247C">
        <w:rPr>
          <w:rFonts w:ascii="Century Gothic" w:hAnsi="Century Gothic"/>
          <w:b/>
          <w:bCs/>
          <w:sz w:val="20"/>
          <w:szCs w:val="20"/>
        </w:rPr>
        <w:t>to</w:t>
      </w:r>
      <w:r w:rsidR="00610469" w:rsidRPr="00A5247C">
        <w:rPr>
          <w:rFonts w:ascii="Century Gothic" w:hAnsi="Century Gothic"/>
          <w:b/>
          <w:bCs/>
          <w:sz w:val="20"/>
          <w:szCs w:val="20"/>
        </w:rPr>
        <w:t xml:space="preserve"> the F</w:t>
      </w:r>
      <w:r w:rsidR="007E3774" w:rsidRPr="00A5247C">
        <w:rPr>
          <w:rFonts w:ascii="Century Gothic" w:hAnsi="Century Gothic"/>
          <w:b/>
          <w:bCs/>
          <w:sz w:val="20"/>
          <w:szCs w:val="20"/>
        </w:rPr>
        <w:t>inancial Centre Intelligence Act (FICA)</w:t>
      </w:r>
      <w:r w:rsidR="00610469" w:rsidRPr="00A5247C">
        <w:rPr>
          <w:rFonts w:ascii="Century Gothic" w:hAnsi="Century Gothic"/>
          <w:sz w:val="20"/>
          <w:szCs w:val="20"/>
        </w:rPr>
        <w:t xml:space="preserve"> in term</w:t>
      </w:r>
      <w:r w:rsidRPr="00A5247C">
        <w:rPr>
          <w:rFonts w:ascii="Century Gothic" w:hAnsi="Century Gothic"/>
          <w:sz w:val="20"/>
          <w:szCs w:val="20"/>
        </w:rPr>
        <w:t>s of</w:t>
      </w:r>
      <w:r w:rsidR="00610469" w:rsidRPr="00A5247C">
        <w:rPr>
          <w:rFonts w:ascii="Century Gothic" w:hAnsi="Century Gothic"/>
          <w:sz w:val="20"/>
          <w:szCs w:val="20"/>
        </w:rPr>
        <w:t xml:space="preserve"> which</w:t>
      </w:r>
      <w:r w:rsidRPr="00A5247C">
        <w:rPr>
          <w:rFonts w:ascii="Century Gothic" w:hAnsi="Century Gothic"/>
          <w:sz w:val="20"/>
          <w:szCs w:val="20"/>
        </w:rPr>
        <w:t xml:space="preserve"> </w:t>
      </w:r>
      <w:r w:rsidR="007E3774" w:rsidRPr="00A5247C">
        <w:rPr>
          <w:rFonts w:ascii="Century Gothic" w:hAnsi="Century Gothic"/>
          <w:sz w:val="20"/>
          <w:szCs w:val="20"/>
        </w:rPr>
        <w:t>CASPs</w:t>
      </w:r>
      <w:r w:rsidR="00610469" w:rsidRPr="00A5247C">
        <w:rPr>
          <w:rFonts w:ascii="Century Gothic" w:hAnsi="Century Gothic"/>
          <w:sz w:val="20"/>
          <w:szCs w:val="20"/>
        </w:rPr>
        <w:t xml:space="preserve"> will be included </w:t>
      </w:r>
      <w:r w:rsidR="007E3774" w:rsidRPr="00A5247C">
        <w:rPr>
          <w:rFonts w:ascii="Century Gothic" w:hAnsi="Century Gothic"/>
          <w:sz w:val="20"/>
          <w:szCs w:val="20"/>
        </w:rPr>
        <w:t>in the list of</w:t>
      </w:r>
      <w:r w:rsidR="00610469" w:rsidRPr="00A5247C">
        <w:rPr>
          <w:rFonts w:ascii="Century Gothic" w:hAnsi="Century Gothic"/>
          <w:sz w:val="20"/>
          <w:szCs w:val="20"/>
        </w:rPr>
        <w:t xml:space="preserve"> </w:t>
      </w:r>
      <w:r w:rsidRPr="00A5247C">
        <w:rPr>
          <w:rFonts w:ascii="Century Gothic" w:hAnsi="Century Gothic"/>
          <w:sz w:val="20"/>
          <w:szCs w:val="20"/>
        </w:rPr>
        <w:t>accountable institutions</w:t>
      </w:r>
      <w:r w:rsidR="007E3774" w:rsidRPr="00A5247C">
        <w:rPr>
          <w:rFonts w:ascii="Century Gothic" w:hAnsi="Century Gothic"/>
          <w:sz w:val="20"/>
          <w:szCs w:val="20"/>
        </w:rPr>
        <w:t>, subjecting CASPs to the full weight of FICA regulatory obligations and non-compliance penalties</w:t>
      </w:r>
      <w:r w:rsidRPr="00A5247C">
        <w:rPr>
          <w:rFonts w:ascii="Century Gothic" w:hAnsi="Century Gothic"/>
          <w:sz w:val="20"/>
          <w:szCs w:val="20"/>
        </w:rPr>
        <w:t>. This will require</w:t>
      </w:r>
      <w:r w:rsidR="00610469" w:rsidRPr="00A5247C">
        <w:rPr>
          <w:rFonts w:ascii="Century Gothic" w:hAnsi="Century Gothic"/>
          <w:sz w:val="20"/>
          <w:szCs w:val="20"/>
        </w:rPr>
        <w:t xml:space="preserve"> </w:t>
      </w:r>
      <w:r w:rsidRPr="00A5247C">
        <w:rPr>
          <w:rFonts w:ascii="Century Gothic" w:hAnsi="Century Gothic"/>
          <w:sz w:val="20"/>
          <w:szCs w:val="20"/>
        </w:rPr>
        <w:t xml:space="preserve">CASPs to develop and implement a Risk Management and Compliance Programme detailing </w:t>
      </w:r>
      <w:r w:rsidR="00936042" w:rsidRPr="00A5247C">
        <w:rPr>
          <w:rFonts w:ascii="Century Gothic" w:hAnsi="Century Gothic"/>
          <w:sz w:val="20"/>
          <w:szCs w:val="20"/>
        </w:rPr>
        <w:t>how they</w:t>
      </w:r>
      <w:r w:rsidRPr="00A5247C">
        <w:rPr>
          <w:rFonts w:ascii="Century Gothic" w:hAnsi="Century Gothic"/>
          <w:sz w:val="20"/>
          <w:szCs w:val="20"/>
        </w:rPr>
        <w:t xml:space="preserve"> will conduct customer due diligences (KYC), monitor and report transactions and manage </w:t>
      </w:r>
      <w:r w:rsidR="00936042" w:rsidRPr="00A5247C">
        <w:rPr>
          <w:rFonts w:ascii="Century Gothic" w:hAnsi="Century Gothic"/>
          <w:sz w:val="20"/>
          <w:szCs w:val="20"/>
        </w:rPr>
        <w:t>their</w:t>
      </w:r>
      <w:r w:rsidRPr="00A5247C">
        <w:rPr>
          <w:rFonts w:ascii="Century Gothic" w:hAnsi="Century Gothic"/>
          <w:sz w:val="20"/>
          <w:szCs w:val="20"/>
        </w:rPr>
        <w:t xml:space="preserve"> </w:t>
      </w:r>
      <w:proofErr w:type="gramStart"/>
      <w:r w:rsidRPr="00A5247C">
        <w:rPr>
          <w:rFonts w:ascii="Century Gothic" w:hAnsi="Century Gothic"/>
          <w:sz w:val="20"/>
          <w:szCs w:val="20"/>
        </w:rPr>
        <w:t>particular anti-</w:t>
      </w:r>
      <w:proofErr w:type="gramEnd"/>
      <w:r w:rsidRPr="00A5247C">
        <w:rPr>
          <w:rFonts w:ascii="Century Gothic" w:hAnsi="Century Gothic"/>
          <w:sz w:val="20"/>
          <w:szCs w:val="20"/>
        </w:rPr>
        <w:t xml:space="preserve">money laundering risk exposure. </w:t>
      </w:r>
    </w:p>
    <w:p w14:paraId="45FBCBCD" w14:textId="3572D60C" w:rsidR="00610469" w:rsidRPr="00A5247C" w:rsidRDefault="00610469" w:rsidP="00610469">
      <w:pPr>
        <w:pStyle w:val="WWBodyText"/>
        <w:rPr>
          <w:rFonts w:ascii="Century Gothic" w:hAnsi="Century Gothic"/>
          <w:sz w:val="20"/>
          <w:szCs w:val="20"/>
        </w:rPr>
      </w:pPr>
      <w:r w:rsidRPr="00A5247C">
        <w:rPr>
          <w:rFonts w:ascii="Century Gothic" w:hAnsi="Century Gothic"/>
          <w:b/>
          <w:bCs/>
          <w:sz w:val="20"/>
          <w:szCs w:val="20"/>
        </w:rPr>
        <w:t xml:space="preserve">The draft declaration of </w:t>
      </w:r>
      <w:r w:rsidR="00F05283" w:rsidRPr="00A5247C">
        <w:rPr>
          <w:rFonts w:ascii="Century Gothic" w:hAnsi="Century Gothic"/>
          <w:b/>
          <w:bCs/>
          <w:sz w:val="20"/>
          <w:szCs w:val="20"/>
        </w:rPr>
        <w:t>crypto</w:t>
      </w:r>
      <w:r w:rsidRPr="00A5247C">
        <w:rPr>
          <w:rFonts w:ascii="Century Gothic" w:hAnsi="Century Gothic"/>
          <w:b/>
          <w:bCs/>
          <w:sz w:val="20"/>
          <w:szCs w:val="20"/>
        </w:rPr>
        <w:t xml:space="preserve"> assets as</w:t>
      </w:r>
      <w:r w:rsidR="007E3774" w:rsidRPr="00A5247C">
        <w:rPr>
          <w:rFonts w:ascii="Century Gothic" w:hAnsi="Century Gothic"/>
          <w:b/>
          <w:bCs/>
          <w:sz w:val="20"/>
          <w:szCs w:val="20"/>
        </w:rPr>
        <w:t xml:space="preserve"> a</w:t>
      </w:r>
      <w:r w:rsidRPr="00A5247C">
        <w:rPr>
          <w:rFonts w:ascii="Century Gothic" w:hAnsi="Century Gothic"/>
          <w:b/>
          <w:bCs/>
          <w:sz w:val="20"/>
          <w:szCs w:val="20"/>
        </w:rPr>
        <w:t xml:space="preserve"> financial product under the </w:t>
      </w:r>
      <w:r w:rsidR="007E3774" w:rsidRPr="00A5247C">
        <w:rPr>
          <w:rFonts w:ascii="Century Gothic" w:hAnsi="Century Gothic"/>
          <w:b/>
          <w:bCs/>
          <w:sz w:val="20"/>
          <w:szCs w:val="20"/>
        </w:rPr>
        <w:t>Financial Advisory and Intermediary Services Act (</w:t>
      </w:r>
      <w:r w:rsidRPr="00A5247C">
        <w:rPr>
          <w:rFonts w:ascii="Century Gothic" w:hAnsi="Century Gothic"/>
          <w:b/>
          <w:bCs/>
          <w:sz w:val="20"/>
          <w:szCs w:val="20"/>
        </w:rPr>
        <w:t>FAIS Act</w:t>
      </w:r>
      <w:r w:rsidR="007E3774" w:rsidRPr="00A5247C">
        <w:rPr>
          <w:rFonts w:ascii="Century Gothic" w:hAnsi="Century Gothic"/>
          <w:b/>
          <w:bCs/>
          <w:sz w:val="20"/>
          <w:szCs w:val="20"/>
        </w:rPr>
        <w:t>):</w:t>
      </w:r>
      <w:r w:rsidRPr="00A5247C">
        <w:rPr>
          <w:rFonts w:ascii="Century Gothic" w:hAnsi="Century Gothic"/>
          <w:sz w:val="20"/>
          <w:szCs w:val="20"/>
        </w:rPr>
        <w:t xml:space="preserve"> </w:t>
      </w:r>
      <w:r w:rsidR="00F05283" w:rsidRPr="00A5247C">
        <w:rPr>
          <w:rFonts w:ascii="Century Gothic" w:hAnsi="Century Gothic"/>
          <w:sz w:val="20"/>
          <w:szCs w:val="20"/>
        </w:rPr>
        <w:t xml:space="preserve">CASPs </w:t>
      </w:r>
      <w:r w:rsidR="00A029B7" w:rsidRPr="00A5247C">
        <w:rPr>
          <w:rFonts w:ascii="Century Gothic" w:hAnsi="Century Gothic"/>
          <w:sz w:val="20"/>
          <w:szCs w:val="20"/>
        </w:rPr>
        <w:t>p</w:t>
      </w:r>
      <w:r w:rsidR="00F05283" w:rsidRPr="00A5247C">
        <w:rPr>
          <w:rFonts w:ascii="Century Gothic" w:hAnsi="Century Gothic"/>
          <w:sz w:val="20"/>
          <w:szCs w:val="20"/>
        </w:rPr>
        <w:t>rovid</w:t>
      </w:r>
      <w:r w:rsidR="00A029B7" w:rsidRPr="00A5247C">
        <w:rPr>
          <w:rFonts w:ascii="Century Gothic" w:hAnsi="Century Gothic"/>
          <w:sz w:val="20"/>
          <w:szCs w:val="20"/>
        </w:rPr>
        <w:t>ing</w:t>
      </w:r>
      <w:r w:rsidR="00F05283" w:rsidRPr="00A5247C">
        <w:rPr>
          <w:rFonts w:ascii="Century Gothic" w:hAnsi="Century Gothic"/>
          <w:sz w:val="20"/>
          <w:szCs w:val="20"/>
        </w:rPr>
        <w:t xml:space="preserve"> </w:t>
      </w:r>
      <w:r w:rsidR="00A029B7" w:rsidRPr="00A5247C">
        <w:rPr>
          <w:rFonts w:ascii="Century Gothic" w:hAnsi="Century Gothic"/>
          <w:sz w:val="20"/>
          <w:szCs w:val="20"/>
        </w:rPr>
        <w:t xml:space="preserve">advice </w:t>
      </w:r>
      <w:r w:rsidR="001A0D9F" w:rsidRPr="00A5247C">
        <w:rPr>
          <w:rFonts w:ascii="Century Gothic" w:hAnsi="Century Gothic"/>
          <w:sz w:val="20"/>
          <w:szCs w:val="20"/>
        </w:rPr>
        <w:t xml:space="preserve">on </w:t>
      </w:r>
      <w:r w:rsidR="00A029B7" w:rsidRPr="00A5247C">
        <w:rPr>
          <w:rFonts w:ascii="Century Gothic" w:hAnsi="Century Gothic"/>
          <w:sz w:val="20"/>
          <w:szCs w:val="20"/>
        </w:rPr>
        <w:t xml:space="preserve">or intermediary </w:t>
      </w:r>
      <w:r w:rsidR="00A029B7" w:rsidRPr="00A5247C">
        <w:rPr>
          <w:rFonts w:ascii="Century Gothic" w:hAnsi="Century Gothic"/>
          <w:sz w:val="20"/>
          <w:szCs w:val="20"/>
        </w:rPr>
        <w:lastRenderedPageBreak/>
        <w:t xml:space="preserve">services </w:t>
      </w:r>
      <w:r w:rsidR="001A0D9F" w:rsidRPr="00A5247C">
        <w:rPr>
          <w:rFonts w:ascii="Century Gothic" w:hAnsi="Century Gothic"/>
          <w:sz w:val="20"/>
          <w:szCs w:val="20"/>
        </w:rPr>
        <w:t>for</w:t>
      </w:r>
      <w:r w:rsidR="00A029B7" w:rsidRPr="00A5247C">
        <w:rPr>
          <w:rFonts w:ascii="Century Gothic" w:hAnsi="Century Gothic"/>
          <w:sz w:val="20"/>
          <w:szCs w:val="20"/>
        </w:rPr>
        <w:t xml:space="preserve"> the pur</w:t>
      </w:r>
      <w:r w:rsidRPr="00A5247C">
        <w:rPr>
          <w:rFonts w:ascii="Century Gothic" w:hAnsi="Century Gothic"/>
          <w:sz w:val="20"/>
          <w:szCs w:val="20"/>
        </w:rPr>
        <w:t xml:space="preserve">chase </w:t>
      </w:r>
      <w:r w:rsidR="00A029B7" w:rsidRPr="00A5247C">
        <w:rPr>
          <w:rFonts w:ascii="Century Gothic" w:hAnsi="Century Gothic"/>
          <w:sz w:val="20"/>
          <w:szCs w:val="20"/>
        </w:rPr>
        <w:t>or</w:t>
      </w:r>
      <w:r w:rsidRPr="00A5247C">
        <w:rPr>
          <w:rFonts w:ascii="Century Gothic" w:hAnsi="Century Gothic"/>
          <w:sz w:val="20"/>
          <w:szCs w:val="20"/>
        </w:rPr>
        <w:t xml:space="preserve"> sale of crypto assets </w:t>
      </w:r>
      <w:r w:rsidR="00A029B7" w:rsidRPr="00A5247C">
        <w:rPr>
          <w:rFonts w:ascii="Century Gothic" w:hAnsi="Century Gothic"/>
          <w:sz w:val="20"/>
          <w:szCs w:val="20"/>
        </w:rPr>
        <w:t xml:space="preserve">will be regarded as rendering financial services. CASPs </w:t>
      </w:r>
      <w:r w:rsidRPr="00A5247C">
        <w:rPr>
          <w:rFonts w:ascii="Century Gothic" w:hAnsi="Century Gothic"/>
          <w:sz w:val="20"/>
          <w:szCs w:val="20"/>
        </w:rPr>
        <w:t>will</w:t>
      </w:r>
      <w:r w:rsidR="00A029B7" w:rsidRPr="00A5247C">
        <w:rPr>
          <w:rFonts w:ascii="Century Gothic" w:hAnsi="Century Gothic"/>
          <w:sz w:val="20"/>
          <w:szCs w:val="20"/>
        </w:rPr>
        <w:t xml:space="preserve"> thus</w:t>
      </w:r>
      <w:r w:rsidRPr="00A5247C">
        <w:rPr>
          <w:rFonts w:ascii="Century Gothic" w:hAnsi="Century Gothic"/>
          <w:sz w:val="20"/>
          <w:szCs w:val="20"/>
        </w:rPr>
        <w:t xml:space="preserve"> need to </w:t>
      </w:r>
      <w:r w:rsidR="00A029B7" w:rsidRPr="00A5247C">
        <w:rPr>
          <w:rFonts w:ascii="Century Gothic" w:hAnsi="Century Gothic"/>
          <w:sz w:val="20"/>
          <w:szCs w:val="20"/>
        </w:rPr>
        <w:t>register</w:t>
      </w:r>
      <w:r w:rsidRPr="00A5247C">
        <w:rPr>
          <w:rFonts w:ascii="Century Gothic" w:hAnsi="Century Gothic"/>
          <w:sz w:val="20"/>
          <w:szCs w:val="20"/>
        </w:rPr>
        <w:t xml:space="preserve"> as financial service provider</w:t>
      </w:r>
      <w:r w:rsidR="00140639" w:rsidRPr="00A5247C">
        <w:rPr>
          <w:rFonts w:ascii="Century Gothic" w:hAnsi="Century Gothic"/>
          <w:sz w:val="20"/>
          <w:szCs w:val="20"/>
        </w:rPr>
        <w:t>s (FSPs)</w:t>
      </w:r>
      <w:r w:rsidRPr="00A5247C">
        <w:rPr>
          <w:rFonts w:ascii="Century Gothic" w:hAnsi="Century Gothic"/>
          <w:sz w:val="20"/>
          <w:szCs w:val="20"/>
        </w:rPr>
        <w:t xml:space="preserve"> in terms of the FAIS Act. </w:t>
      </w:r>
      <w:r w:rsidR="00A029B7" w:rsidRPr="00A5247C">
        <w:rPr>
          <w:rFonts w:ascii="Century Gothic" w:hAnsi="Century Gothic"/>
          <w:sz w:val="20"/>
          <w:szCs w:val="20"/>
        </w:rPr>
        <w:t>The Crypto Asset Policy Paper states that t</w:t>
      </w:r>
      <w:r w:rsidRPr="00A5247C">
        <w:rPr>
          <w:rFonts w:ascii="Century Gothic" w:hAnsi="Century Gothic"/>
          <w:sz w:val="20"/>
          <w:szCs w:val="20"/>
        </w:rPr>
        <w:t xml:space="preserve">he </w:t>
      </w:r>
      <w:r w:rsidR="00A029B7" w:rsidRPr="00A5247C">
        <w:rPr>
          <w:rFonts w:ascii="Century Gothic" w:hAnsi="Century Gothic"/>
          <w:sz w:val="20"/>
          <w:szCs w:val="20"/>
        </w:rPr>
        <w:t>declaration of crypto</w:t>
      </w:r>
      <w:r w:rsidR="00140639" w:rsidRPr="00A5247C">
        <w:rPr>
          <w:rFonts w:ascii="Century Gothic" w:hAnsi="Century Gothic"/>
          <w:sz w:val="20"/>
          <w:szCs w:val="20"/>
        </w:rPr>
        <w:t xml:space="preserve"> </w:t>
      </w:r>
      <w:r w:rsidR="00A029B7" w:rsidRPr="00A5247C">
        <w:rPr>
          <w:rFonts w:ascii="Century Gothic" w:hAnsi="Century Gothic"/>
          <w:sz w:val="20"/>
          <w:szCs w:val="20"/>
        </w:rPr>
        <w:t>assets as financial product</w:t>
      </w:r>
      <w:r w:rsidR="001A0D9F" w:rsidRPr="00A5247C">
        <w:rPr>
          <w:rFonts w:ascii="Century Gothic" w:hAnsi="Century Gothic"/>
          <w:sz w:val="20"/>
          <w:szCs w:val="20"/>
        </w:rPr>
        <w:t>s</w:t>
      </w:r>
      <w:r w:rsidR="00A029B7" w:rsidRPr="00A5247C">
        <w:rPr>
          <w:rFonts w:ascii="Century Gothic" w:hAnsi="Century Gothic"/>
          <w:sz w:val="20"/>
          <w:szCs w:val="20"/>
        </w:rPr>
        <w:t xml:space="preserve"> is</w:t>
      </w:r>
      <w:r w:rsidRPr="00A5247C">
        <w:rPr>
          <w:rFonts w:ascii="Century Gothic" w:hAnsi="Century Gothic"/>
          <w:sz w:val="20"/>
          <w:szCs w:val="20"/>
        </w:rPr>
        <w:t xml:space="preserve"> necessary </w:t>
      </w:r>
      <w:r w:rsidR="00A029B7" w:rsidRPr="00A5247C">
        <w:rPr>
          <w:rFonts w:ascii="Century Gothic" w:hAnsi="Century Gothic"/>
          <w:sz w:val="20"/>
          <w:szCs w:val="20"/>
        </w:rPr>
        <w:t xml:space="preserve">to </w:t>
      </w:r>
      <w:r w:rsidRPr="00A5247C">
        <w:rPr>
          <w:rFonts w:ascii="Century Gothic" w:hAnsi="Century Gothic"/>
          <w:sz w:val="20"/>
          <w:szCs w:val="20"/>
        </w:rPr>
        <w:t>enable t</w:t>
      </w:r>
      <w:r w:rsidR="001A0D9F" w:rsidRPr="00A5247C">
        <w:rPr>
          <w:rFonts w:ascii="Century Gothic" w:hAnsi="Century Gothic"/>
          <w:sz w:val="20"/>
          <w:szCs w:val="20"/>
        </w:rPr>
        <w:t xml:space="preserve">he </w:t>
      </w:r>
      <w:r w:rsidRPr="00A5247C">
        <w:rPr>
          <w:rFonts w:ascii="Century Gothic" w:hAnsi="Century Gothic"/>
          <w:sz w:val="20"/>
          <w:szCs w:val="20"/>
        </w:rPr>
        <w:t xml:space="preserve">FSCA to impose urgent </w:t>
      </w:r>
      <w:r w:rsidR="00A029B7" w:rsidRPr="00A5247C">
        <w:rPr>
          <w:rFonts w:ascii="Century Gothic" w:hAnsi="Century Gothic"/>
          <w:sz w:val="20"/>
          <w:szCs w:val="20"/>
        </w:rPr>
        <w:t xml:space="preserve">consumer protection </w:t>
      </w:r>
      <w:r w:rsidRPr="00A5247C">
        <w:rPr>
          <w:rFonts w:ascii="Century Gothic" w:hAnsi="Century Gothic"/>
          <w:sz w:val="20"/>
          <w:szCs w:val="20"/>
        </w:rPr>
        <w:t>regulatory measure</w:t>
      </w:r>
      <w:r w:rsidR="00A029B7" w:rsidRPr="00A5247C">
        <w:rPr>
          <w:rFonts w:ascii="Century Gothic" w:hAnsi="Century Gothic"/>
          <w:sz w:val="20"/>
          <w:szCs w:val="20"/>
        </w:rPr>
        <w:t>s</w:t>
      </w:r>
      <w:r w:rsidRPr="00A5247C">
        <w:rPr>
          <w:rFonts w:ascii="Century Gothic" w:hAnsi="Century Gothic"/>
          <w:sz w:val="20"/>
          <w:szCs w:val="20"/>
        </w:rPr>
        <w:t xml:space="preserve"> </w:t>
      </w:r>
      <w:r w:rsidR="00A029B7" w:rsidRPr="00A5247C">
        <w:rPr>
          <w:rFonts w:ascii="Century Gothic" w:hAnsi="Century Gothic"/>
          <w:sz w:val="20"/>
          <w:szCs w:val="20"/>
        </w:rPr>
        <w:t>over CASPs</w:t>
      </w:r>
      <w:r w:rsidRPr="00A5247C">
        <w:rPr>
          <w:rFonts w:ascii="Century Gothic" w:hAnsi="Century Gothic"/>
          <w:sz w:val="20"/>
          <w:szCs w:val="20"/>
        </w:rPr>
        <w:t xml:space="preserve">. </w:t>
      </w:r>
      <w:r w:rsidR="00140639" w:rsidRPr="00A5247C">
        <w:rPr>
          <w:rFonts w:ascii="Century Gothic" w:hAnsi="Century Gothic"/>
          <w:sz w:val="20"/>
          <w:szCs w:val="20"/>
        </w:rPr>
        <w:t xml:space="preserve">Subjecting CASPs to the </w:t>
      </w:r>
      <w:r w:rsidR="00A029B7" w:rsidRPr="00A5247C">
        <w:rPr>
          <w:rFonts w:ascii="Century Gothic" w:hAnsi="Century Gothic"/>
          <w:sz w:val="20"/>
          <w:szCs w:val="20"/>
        </w:rPr>
        <w:t xml:space="preserve">"treating customers fairly" requirements </w:t>
      </w:r>
      <w:r w:rsidR="00140639" w:rsidRPr="00A5247C">
        <w:rPr>
          <w:rFonts w:ascii="Century Gothic" w:hAnsi="Century Gothic"/>
          <w:sz w:val="20"/>
          <w:szCs w:val="20"/>
        </w:rPr>
        <w:t>of</w:t>
      </w:r>
      <w:r w:rsidR="00A029B7" w:rsidRPr="00A5247C">
        <w:rPr>
          <w:rFonts w:ascii="Century Gothic" w:hAnsi="Century Gothic"/>
          <w:sz w:val="20"/>
          <w:szCs w:val="20"/>
        </w:rPr>
        <w:t xml:space="preserve"> the FAIS Act is a necessary developme</w:t>
      </w:r>
      <w:r w:rsidR="00126822" w:rsidRPr="00A5247C">
        <w:rPr>
          <w:rFonts w:ascii="Century Gothic" w:hAnsi="Century Gothic"/>
          <w:sz w:val="20"/>
          <w:szCs w:val="20"/>
        </w:rPr>
        <w:t>nt to protect consumer</w:t>
      </w:r>
      <w:r w:rsidR="00140639" w:rsidRPr="00A5247C">
        <w:rPr>
          <w:rFonts w:ascii="Century Gothic" w:hAnsi="Century Gothic"/>
          <w:sz w:val="20"/>
          <w:szCs w:val="20"/>
        </w:rPr>
        <w:t>s</w:t>
      </w:r>
      <w:r w:rsidR="00126822" w:rsidRPr="00A5247C">
        <w:rPr>
          <w:rFonts w:ascii="Century Gothic" w:hAnsi="Century Gothic"/>
          <w:sz w:val="20"/>
          <w:szCs w:val="20"/>
        </w:rPr>
        <w:t xml:space="preserve"> against the rampant proliferation of crypto-asset scams. However, subjecting crypto-asset services provider</w:t>
      </w:r>
      <w:r w:rsidR="001A0D9F" w:rsidRPr="00A5247C">
        <w:rPr>
          <w:rFonts w:ascii="Century Gothic" w:hAnsi="Century Gothic"/>
          <w:sz w:val="20"/>
          <w:szCs w:val="20"/>
        </w:rPr>
        <w:t>s</w:t>
      </w:r>
      <w:r w:rsidR="00126822" w:rsidRPr="00A5247C">
        <w:rPr>
          <w:rFonts w:ascii="Century Gothic" w:hAnsi="Century Gothic"/>
          <w:sz w:val="20"/>
          <w:szCs w:val="20"/>
        </w:rPr>
        <w:t xml:space="preserve"> to the same fit and proper requirements and compliance obligations as incumbent FSPs may impose unduly onerous regulatory requirements</w:t>
      </w:r>
      <w:r w:rsidR="004776A3" w:rsidRPr="00A5247C">
        <w:rPr>
          <w:rFonts w:ascii="Century Gothic" w:hAnsi="Century Gothic"/>
          <w:sz w:val="20"/>
          <w:szCs w:val="20"/>
        </w:rPr>
        <w:t xml:space="preserve"> </w:t>
      </w:r>
      <w:r w:rsidR="001A0D9F" w:rsidRPr="00A5247C">
        <w:rPr>
          <w:rFonts w:ascii="Century Gothic" w:hAnsi="Century Gothic"/>
          <w:sz w:val="20"/>
          <w:szCs w:val="20"/>
        </w:rPr>
        <w:t>up</w:t>
      </w:r>
      <w:r w:rsidR="004776A3" w:rsidRPr="00A5247C">
        <w:rPr>
          <w:rFonts w:ascii="Century Gothic" w:hAnsi="Century Gothic"/>
          <w:sz w:val="20"/>
          <w:szCs w:val="20"/>
        </w:rPr>
        <w:t>on CASPs</w:t>
      </w:r>
      <w:r w:rsidR="00126822" w:rsidRPr="00A5247C">
        <w:rPr>
          <w:rFonts w:ascii="Century Gothic" w:hAnsi="Century Gothic"/>
          <w:sz w:val="20"/>
          <w:szCs w:val="20"/>
        </w:rPr>
        <w:t>.</w:t>
      </w:r>
      <w:r w:rsidR="004776A3" w:rsidRPr="00A5247C">
        <w:rPr>
          <w:rFonts w:ascii="Century Gothic" w:hAnsi="Century Gothic"/>
          <w:sz w:val="20"/>
          <w:szCs w:val="20"/>
        </w:rPr>
        <w:t xml:space="preserve"> </w:t>
      </w:r>
      <w:r w:rsidR="00126822" w:rsidRPr="00A5247C">
        <w:rPr>
          <w:rFonts w:ascii="Century Gothic" w:hAnsi="Century Gothic"/>
          <w:sz w:val="20"/>
          <w:szCs w:val="20"/>
        </w:rPr>
        <w:t xml:space="preserve"> </w:t>
      </w:r>
    </w:p>
    <w:p w14:paraId="7339AA87" w14:textId="684E4C52" w:rsidR="0047226A" w:rsidRPr="00A5247C" w:rsidRDefault="001A0D9F" w:rsidP="00610469">
      <w:pPr>
        <w:pStyle w:val="WWBodyText"/>
        <w:rPr>
          <w:rFonts w:ascii="Century Gothic" w:hAnsi="Century Gothic"/>
          <w:sz w:val="20"/>
          <w:szCs w:val="20"/>
        </w:rPr>
      </w:pPr>
      <w:r w:rsidRPr="00A5247C">
        <w:rPr>
          <w:rFonts w:ascii="Century Gothic" w:hAnsi="Century Gothic"/>
          <w:sz w:val="20"/>
          <w:szCs w:val="20"/>
        </w:rPr>
        <w:t>Now</w:t>
      </w:r>
      <w:r w:rsidR="00610469" w:rsidRPr="00A5247C">
        <w:rPr>
          <w:rFonts w:ascii="Century Gothic" w:hAnsi="Century Gothic"/>
          <w:sz w:val="20"/>
          <w:szCs w:val="20"/>
        </w:rPr>
        <w:t xml:space="preserve"> the long-awaited </w:t>
      </w:r>
      <w:r w:rsidR="004776A3" w:rsidRPr="00A5247C">
        <w:rPr>
          <w:rFonts w:ascii="Century Gothic" w:hAnsi="Century Gothic"/>
          <w:sz w:val="20"/>
          <w:szCs w:val="20"/>
        </w:rPr>
        <w:t>road</w:t>
      </w:r>
      <w:r w:rsidR="00610469" w:rsidRPr="00A5247C">
        <w:rPr>
          <w:rFonts w:ascii="Century Gothic" w:hAnsi="Century Gothic"/>
          <w:sz w:val="20"/>
          <w:szCs w:val="20"/>
        </w:rPr>
        <w:t>map to crypto asset regulation</w:t>
      </w:r>
      <w:r w:rsidR="00140639" w:rsidRPr="00A5247C">
        <w:rPr>
          <w:rFonts w:ascii="Century Gothic" w:hAnsi="Century Gothic"/>
          <w:sz w:val="20"/>
          <w:szCs w:val="20"/>
        </w:rPr>
        <w:t xml:space="preserve"> in South Africa</w:t>
      </w:r>
      <w:r w:rsidR="00610469" w:rsidRPr="00A5247C">
        <w:rPr>
          <w:rFonts w:ascii="Century Gothic" w:hAnsi="Century Gothic"/>
          <w:sz w:val="20"/>
          <w:szCs w:val="20"/>
        </w:rPr>
        <w:t xml:space="preserve"> </w:t>
      </w:r>
      <w:r w:rsidRPr="00A5247C">
        <w:rPr>
          <w:rFonts w:ascii="Century Gothic" w:hAnsi="Century Gothic"/>
          <w:sz w:val="20"/>
          <w:szCs w:val="20"/>
        </w:rPr>
        <w:t>has</w:t>
      </w:r>
      <w:r w:rsidR="00610469" w:rsidRPr="00A5247C">
        <w:rPr>
          <w:rFonts w:ascii="Century Gothic" w:hAnsi="Century Gothic"/>
          <w:sz w:val="20"/>
          <w:szCs w:val="20"/>
        </w:rPr>
        <w:t xml:space="preserve"> </w:t>
      </w:r>
      <w:r w:rsidRPr="00A5247C">
        <w:rPr>
          <w:rFonts w:ascii="Century Gothic" w:hAnsi="Century Gothic"/>
          <w:sz w:val="20"/>
          <w:szCs w:val="20"/>
        </w:rPr>
        <w:t>been laid out</w:t>
      </w:r>
      <w:r w:rsidR="00610469" w:rsidRPr="00A5247C">
        <w:rPr>
          <w:rFonts w:ascii="Century Gothic" w:hAnsi="Century Gothic"/>
          <w:sz w:val="20"/>
          <w:szCs w:val="20"/>
        </w:rPr>
        <w:t xml:space="preserve">, current market </w:t>
      </w:r>
      <w:r w:rsidR="004776A3" w:rsidRPr="00A5247C">
        <w:rPr>
          <w:rFonts w:ascii="Century Gothic" w:hAnsi="Century Gothic"/>
          <w:sz w:val="20"/>
          <w:szCs w:val="20"/>
        </w:rPr>
        <w:t>players</w:t>
      </w:r>
      <w:r w:rsidR="00610469" w:rsidRPr="00A5247C">
        <w:rPr>
          <w:rFonts w:ascii="Century Gothic" w:hAnsi="Century Gothic"/>
          <w:sz w:val="20"/>
          <w:szCs w:val="20"/>
        </w:rPr>
        <w:t xml:space="preserve"> in the </w:t>
      </w:r>
      <w:r w:rsidR="00140639" w:rsidRPr="00A5247C">
        <w:rPr>
          <w:rFonts w:ascii="Century Gothic" w:hAnsi="Century Gothic"/>
          <w:sz w:val="20"/>
          <w:szCs w:val="20"/>
        </w:rPr>
        <w:t>c</w:t>
      </w:r>
      <w:r w:rsidR="00610469" w:rsidRPr="00A5247C">
        <w:rPr>
          <w:rFonts w:ascii="Century Gothic" w:hAnsi="Century Gothic"/>
          <w:sz w:val="20"/>
          <w:szCs w:val="20"/>
        </w:rPr>
        <w:t xml:space="preserve">rypto </w:t>
      </w:r>
      <w:r w:rsidR="00140639" w:rsidRPr="00A5247C">
        <w:rPr>
          <w:rFonts w:ascii="Century Gothic" w:hAnsi="Century Gothic"/>
          <w:sz w:val="20"/>
          <w:szCs w:val="20"/>
        </w:rPr>
        <w:t>a</w:t>
      </w:r>
      <w:r w:rsidR="00610469" w:rsidRPr="00A5247C">
        <w:rPr>
          <w:rFonts w:ascii="Century Gothic" w:hAnsi="Century Gothic"/>
          <w:sz w:val="20"/>
          <w:szCs w:val="20"/>
        </w:rPr>
        <w:t>sse</w:t>
      </w:r>
      <w:r w:rsidR="00140639" w:rsidRPr="00A5247C">
        <w:rPr>
          <w:rFonts w:ascii="Century Gothic" w:hAnsi="Century Gothic"/>
          <w:sz w:val="20"/>
          <w:szCs w:val="20"/>
        </w:rPr>
        <w:t>t</w:t>
      </w:r>
      <w:r w:rsidR="00610469" w:rsidRPr="00A5247C">
        <w:rPr>
          <w:rFonts w:ascii="Century Gothic" w:hAnsi="Century Gothic"/>
          <w:sz w:val="20"/>
          <w:szCs w:val="20"/>
        </w:rPr>
        <w:t xml:space="preserve"> </w:t>
      </w:r>
      <w:r w:rsidR="00140639" w:rsidRPr="00A5247C">
        <w:rPr>
          <w:rFonts w:ascii="Century Gothic" w:hAnsi="Century Gothic"/>
          <w:sz w:val="20"/>
          <w:szCs w:val="20"/>
        </w:rPr>
        <w:t>i</w:t>
      </w:r>
      <w:r w:rsidR="00610469" w:rsidRPr="00A5247C">
        <w:rPr>
          <w:rFonts w:ascii="Century Gothic" w:hAnsi="Century Gothic"/>
          <w:sz w:val="20"/>
          <w:szCs w:val="20"/>
        </w:rPr>
        <w:t xml:space="preserve">ndustry should begin developing and </w:t>
      </w:r>
      <w:r w:rsidR="004776A3" w:rsidRPr="00A5247C">
        <w:rPr>
          <w:rFonts w:ascii="Century Gothic" w:hAnsi="Century Gothic"/>
          <w:sz w:val="20"/>
          <w:szCs w:val="20"/>
        </w:rPr>
        <w:t>implementing appropriate</w:t>
      </w:r>
      <w:r w:rsidR="00610469" w:rsidRPr="00A5247C">
        <w:rPr>
          <w:rFonts w:ascii="Century Gothic" w:hAnsi="Century Gothic"/>
          <w:sz w:val="20"/>
          <w:szCs w:val="20"/>
        </w:rPr>
        <w:t xml:space="preserve"> strategies to regularise their business models</w:t>
      </w:r>
      <w:r w:rsidR="004776A3" w:rsidRPr="00A5247C">
        <w:rPr>
          <w:rFonts w:ascii="Century Gothic" w:hAnsi="Century Gothic"/>
          <w:sz w:val="20"/>
          <w:szCs w:val="20"/>
        </w:rPr>
        <w:t xml:space="preserve"> in line</w:t>
      </w:r>
      <w:r w:rsidR="00610469" w:rsidRPr="00A5247C">
        <w:rPr>
          <w:rFonts w:ascii="Century Gothic" w:hAnsi="Century Gothic"/>
          <w:sz w:val="20"/>
          <w:szCs w:val="20"/>
        </w:rPr>
        <w:t xml:space="preserve"> with the impending regulatory framework</w:t>
      </w:r>
      <w:r w:rsidRPr="00A5247C">
        <w:rPr>
          <w:rFonts w:ascii="Century Gothic" w:hAnsi="Century Gothic"/>
          <w:sz w:val="20"/>
          <w:szCs w:val="20"/>
        </w:rPr>
        <w:t>. They should also</w:t>
      </w:r>
      <w:r w:rsidR="004776A3" w:rsidRPr="00A5247C">
        <w:rPr>
          <w:rFonts w:ascii="Century Gothic" w:hAnsi="Century Gothic"/>
          <w:sz w:val="20"/>
          <w:szCs w:val="20"/>
        </w:rPr>
        <w:t xml:space="preserve"> actively</w:t>
      </w:r>
      <w:r w:rsidR="00610469" w:rsidRPr="00A5247C">
        <w:rPr>
          <w:rFonts w:ascii="Century Gothic" w:hAnsi="Century Gothic"/>
          <w:sz w:val="20"/>
          <w:szCs w:val="20"/>
        </w:rPr>
        <w:t xml:space="preserve"> </w:t>
      </w:r>
      <w:r w:rsidR="004776A3" w:rsidRPr="00A5247C">
        <w:rPr>
          <w:rFonts w:ascii="Century Gothic" w:hAnsi="Century Gothic"/>
          <w:sz w:val="20"/>
          <w:szCs w:val="20"/>
        </w:rPr>
        <w:t>participat</w:t>
      </w:r>
      <w:r w:rsidRPr="00A5247C">
        <w:rPr>
          <w:rFonts w:ascii="Century Gothic" w:hAnsi="Century Gothic"/>
          <w:sz w:val="20"/>
          <w:szCs w:val="20"/>
        </w:rPr>
        <w:t>e</w:t>
      </w:r>
      <w:r w:rsidR="00610469" w:rsidRPr="00A5247C">
        <w:rPr>
          <w:rFonts w:ascii="Century Gothic" w:hAnsi="Century Gothic"/>
          <w:sz w:val="20"/>
          <w:szCs w:val="20"/>
        </w:rPr>
        <w:t xml:space="preserve"> </w:t>
      </w:r>
      <w:r w:rsidR="004776A3" w:rsidRPr="00A5247C">
        <w:rPr>
          <w:rFonts w:ascii="Century Gothic" w:hAnsi="Century Gothic"/>
          <w:sz w:val="20"/>
          <w:szCs w:val="20"/>
        </w:rPr>
        <w:t xml:space="preserve">in </w:t>
      </w:r>
      <w:r w:rsidR="00503B6F" w:rsidRPr="00A5247C">
        <w:rPr>
          <w:rFonts w:ascii="Century Gothic" w:hAnsi="Century Gothic"/>
          <w:sz w:val="20"/>
          <w:szCs w:val="20"/>
        </w:rPr>
        <w:t xml:space="preserve">the </w:t>
      </w:r>
      <w:r w:rsidR="004776A3" w:rsidRPr="00A5247C">
        <w:rPr>
          <w:rFonts w:ascii="Century Gothic" w:hAnsi="Century Gothic"/>
          <w:sz w:val="20"/>
          <w:szCs w:val="20"/>
        </w:rPr>
        <w:t>stakeholder</w:t>
      </w:r>
      <w:r w:rsidR="00610469" w:rsidRPr="00A5247C">
        <w:rPr>
          <w:rFonts w:ascii="Century Gothic" w:hAnsi="Century Gothic"/>
          <w:sz w:val="20"/>
          <w:szCs w:val="20"/>
        </w:rPr>
        <w:t xml:space="preserve"> </w:t>
      </w:r>
      <w:r w:rsidR="004776A3" w:rsidRPr="00A5247C">
        <w:rPr>
          <w:rFonts w:ascii="Century Gothic" w:hAnsi="Century Gothic"/>
          <w:sz w:val="20"/>
          <w:szCs w:val="20"/>
        </w:rPr>
        <w:t>engagements and commentary</w:t>
      </w:r>
      <w:r w:rsidR="00610469" w:rsidRPr="00A5247C">
        <w:rPr>
          <w:rFonts w:ascii="Century Gothic" w:hAnsi="Century Gothic"/>
          <w:sz w:val="20"/>
          <w:szCs w:val="20"/>
        </w:rPr>
        <w:t xml:space="preserve"> processes that will follow the promulgation of </w:t>
      </w:r>
      <w:r w:rsidRPr="00A5247C">
        <w:rPr>
          <w:rFonts w:ascii="Century Gothic" w:hAnsi="Century Gothic"/>
          <w:sz w:val="20"/>
          <w:szCs w:val="20"/>
        </w:rPr>
        <w:t xml:space="preserve">the </w:t>
      </w:r>
      <w:r w:rsidR="00610469" w:rsidRPr="00A5247C">
        <w:rPr>
          <w:rFonts w:ascii="Century Gothic" w:hAnsi="Century Gothic"/>
          <w:sz w:val="20"/>
          <w:szCs w:val="20"/>
        </w:rPr>
        <w:t>necessary amendment</w:t>
      </w:r>
      <w:r w:rsidRPr="00A5247C">
        <w:rPr>
          <w:rFonts w:ascii="Century Gothic" w:hAnsi="Century Gothic"/>
          <w:sz w:val="20"/>
          <w:szCs w:val="20"/>
        </w:rPr>
        <w:t>s</w:t>
      </w:r>
      <w:r w:rsidR="00610469" w:rsidRPr="00A5247C">
        <w:rPr>
          <w:rFonts w:ascii="Century Gothic" w:hAnsi="Century Gothic"/>
          <w:sz w:val="20"/>
          <w:szCs w:val="20"/>
        </w:rPr>
        <w:t xml:space="preserve"> to </w:t>
      </w:r>
      <w:r w:rsidR="004776A3" w:rsidRPr="00A5247C">
        <w:rPr>
          <w:rFonts w:ascii="Century Gothic" w:hAnsi="Century Gothic"/>
          <w:sz w:val="20"/>
          <w:szCs w:val="20"/>
        </w:rPr>
        <w:t>legislation</w:t>
      </w:r>
      <w:r w:rsidR="00610469" w:rsidRPr="00A5247C">
        <w:rPr>
          <w:rFonts w:ascii="Century Gothic" w:hAnsi="Century Gothic"/>
          <w:sz w:val="20"/>
          <w:szCs w:val="20"/>
        </w:rPr>
        <w:t xml:space="preserve"> </w:t>
      </w:r>
      <w:proofErr w:type="gramStart"/>
      <w:r w:rsidR="00610469" w:rsidRPr="00A5247C">
        <w:rPr>
          <w:rFonts w:ascii="Century Gothic" w:hAnsi="Century Gothic"/>
          <w:sz w:val="20"/>
          <w:szCs w:val="20"/>
        </w:rPr>
        <w:t>in order to</w:t>
      </w:r>
      <w:proofErr w:type="gramEnd"/>
      <w:r w:rsidR="00610469" w:rsidRPr="00A5247C">
        <w:rPr>
          <w:rFonts w:ascii="Century Gothic" w:hAnsi="Century Gothic"/>
          <w:sz w:val="20"/>
          <w:szCs w:val="20"/>
        </w:rPr>
        <w:t xml:space="preserve"> give effect to the </w:t>
      </w:r>
      <w:r w:rsidR="001749BD" w:rsidRPr="00A5247C">
        <w:rPr>
          <w:rFonts w:ascii="Century Gothic" w:hAnsi="Century Gothic"/>
          <w:sz w:val="20"/>
          <w:szCs w:val="20"/>
        </w:rPr>
        <w:t>C</w:t>
      </w:r>
      <w:r w:rsidR="004776A3" w:rsidRPr="00A5247C">
        <w:rPr>
          <w:rFonts w:ascii="Century Gothic" w:hAnsi="Century Gothic"/>
          <w:sz w:val="20"/>
          <w:szCs w:val="20"/>
        </w:rPr>
        <w:t>rypto</w:t>
      </w:r>
      <w:r w:rsidR="00610469" w:rsidRPr="00A5247C">
        <w:rPr>
          <w:rFonts w:ascii="Century Gothic" w:hAnsi="Century Gothic"/>
          <w:sz w:val="20"/>
          <w:szCs w:val="20"/>
        </w:rPr>
        <w:t xml:space="preserve"> </w:t>
      </w:r>
      <w:r w:rsidR="001749BD" w:rsidRPr="00A5247C">
        <w:rPr>
          <w:rFonts w:ascii="Century Gothic" w:hAnsi="Century Gothic"/>
          <w:sz w:val="20"/>
          <w:szCs w:val="20"/>
        </w:rPr>
        <w:t>A</w:t>
      </w:r>
      <w:r w:rsidR="00610469" w:rsidRPr="00A5247C">
        <w:rPr>
          <w:rFonts w:ascii="Century Gothic" w:hAnsi="Century Gothic"/>
          <w:sz w:val="20"/>
          <w:szCs w:val="20"/>
        </w:rPr>
        <w:t xml:space="preserve">sset </w:t>
      </w:r>
      <w:r w:rsidR="001749BD" w:rsidRPr="00A5247C">
        <w:rPr>
          <w:rFonts w:ascii="Century Gothic" w:hAnsi="Century Gothic"/>
          <w:sz w:val="20"/>
          <w:szCs w:val="20"/>
        </w:rPr>
        <w:t>P</w:t>
      </w:r>
      <w:r w:rsidR="00610469" w:rsidRPr="00A5247C">
        <w:rPr>
          <w:rFonts w:ascii="Century Gothic" w:hAnsi="Century Gothic"/>
          <w:sz w:val="20"/>
          <w:szCs w:val="20"/>
        </w:rPr>
        <w:t xml:space="preserve">olicy </w:t>
      </w:r>
      <w:r w:rsidR="001749BD" w:rsidRPr="00A5247C">
        <w:rPr>
          <w:rFonts w:ascii="Century Gothic" w:hAnsi="Century Gothic"/>
          <w:sz w:val="20"/>
          <w:szCs w:val="20"/>
        </w:rPr>
        <w:t>P</w:t>
      </w:r>
      <w:r w:rsidR="00610469" w:rsidRPr="00A5247C">
        <w:rPr>
          <w:rFonts w:ascii="Century Gothic" w:hAnsi="Century Gothic"/>
          <w:sz w:val="20"/>
          <w:szCs w:val="20"/>
        </w:rPr>
        <w:t>aper</w:t>
      </w:r>
      <w:r w:rsidR="001749BD" w:rsidRPr="00A5247C">
        <w:rPr>
          <w:rFonts w:ascii="Century Gothic" w:hAnsi="Century Gothic"/>
          <w:sz w:val="20"/>
          <w:szCs w:val="20"/>
        </w:rPr>
        <w:t>’s</w:t>
      </w:r>
      <w:r w:rsidR="004776A3" w:rsidRPr="00A5247C">
        <w:rPr>
          <w:rFonts w:ascii="Century Gothic" w:hAnsi="Century Gothic"/>
          <w:sz w:val="20"/>
          <w:szCs w:val="20"/>
        </w:rPr>
        <w:t xml:space="preserve"> recommendations</w:t>
      </w:r>
      <w:r w:rsidR="00610469" w:rsidRPr="00A5247C">
        <w:rPr>
          <w:rFonts w:ascii="Century Gothic" w:hAnsi="Century Gothic"/>
          <w:sz w:val="20"/>
          <w:szCs w:val="20"/>
        </w:rPr>
        <w:t>.</w:t>
      </w:r>
    </w:p>
    <w:p w14:paraId="4382A4C7" w14:textId="77777777" w:rsidR="0047226A" w:rsidRPr="00A5247C" w:rsidRDefault="0047226A" w:rsidP="0047226A">
      <w:pPr>
        <w:pStyle w:val="WWBodyText"/>
        <w:rPr>
          <w:rFonts w:ascii="Century Gothic" w:hAnsi="Century Gothic"/>
          <w:sz w:val="20"/>
          <w:szCs w:val="20"/>
        </w:rPr>
      </w:pPr>
    </w:p>
    <w:p w14:paraId="27E5A44F" w14:textId="77777777" w:rsidR="00FB12E1" w:rsidRPr="00A5247C" w:rsidRDefault="00FB12E1" w:rsidP="00855BAF">
      <w:pPr>
        <w:pStyle w:val="WWBodyText"/>
        <w:rPr>
          <w:rFonts w:ascii="Century Gothic" w:hAnsi="Century Gothic"/>
          <w:sz w:val="20"/>
          <w:szCs w:val="20"/>
        </w:rPr>
      </w:pPr>
    </w:p>
    <w:sectPr w:rsidR="00FB12E1" w:rsidRPr="00A5247C" w:rsidSect="005F6F48">
      <w:headerReference w:type="default" r:id="rId8"/>
      <w:pgSz w:w="11906" w:h="16838" w:code="9"/>
      <w:pgMar w:top="1134" w:right="1418" w:bottom="851" w:left="170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220B4" w14:textId="77777777" w:rsidR="001217E3" w:rsidRDefault="001217E3" w:rsidP="00787418">
      <w:pPr>
        <w:spacing w:before="60" w:after="60"/>
      </w:pPr>
      <w:r>
        <w:separator/>
      </w:r>
    </w:p>
  </w:endnote>
  <w:endnote w:type="continuationSeparator" w:id="0">
    <w:p w14:paraId="62D869C8" w14:textId="77777777" w:rsidR="001217E3" w:rsidRDefault="001217E3" w:rsidP="00787418">
      <w:pPr>
        <w:spacing w:before="60" w:after="60"/>
      </w:pPr>
      <w:r>
        <w:continuationSeparator/>
      </w:r>
    </w:p>
  </w:endnote>
  <w:endnote w:type="continuationNotice" w:id="1">
    <w:p w14:paraId="1273D952" w14:textId="77777777" w:rsidR="001217E3" w:rsidRDefault="001217E3" w:rsidP="00787418">
      <w:pPr>
        <w:spacing w:before="60" w:after="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0C216" w14:textId="77777777" w:rsidR="001217E3" w:rsidRDefault="001217E3" w:rsidP="009E64ED">
      <w:pPr>
        <w:spacing w:before="60" w:after="60" w:line="264" w:lineRule="auto"/>
      </w:pPr>
      <w:r>
        <w:separator/>
      </w:r>
    </w:p>
  </w:footnote>
  <w:footnote w:type="continuationSeparator" w:id="0">
    <w:p w14:paraId="65E6524D" w14:textId="77777777" w:rsidR="001217E3" w:rsidRDefault="001217E3" w:rsidP="00A85947">
      <w:pPr>
        <w:spacing w:before="60" w:after="60" w:line="264" w:lineRule="auto"/>
      </w:pPr>
      <w:r>
        <w:continuationSeparator/>
      </w:r>
    </w:p>
  </w:footnote>
  <w:footnote w:type="continuationNotice" w:id="1">
    <w:p w14:paraId="4DE081CD" w14:textId="77777777" w:rsidR="001217E3" w:rsidRDefault="001217E3" w:rsidP="00A85947">
      <w:pPr>
        <w:spacing w:before="60" w:after="60" w:line="264"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EA15E" w14:textId="77777777" w:rsidR="001900F1" w:rsidRDefault="001900F1">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503B6F">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A8831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C84B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5E61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0015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5270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4E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025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48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3EE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E4C4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C5E66"/>
    <w:multiLevelType w:val="hybridMultilevel"/>
    <w:tmpl w:val="D334128A"/>
    <w:lvl w:ilvl="0" w:tplc="3EA6D6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DB12BF"/>
    <w:multiLevelType w:val="multilevel"/>
    <w:tmpl w:val="2AA2E52E"/>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8853A11"/>
    <w:multiLevelType w:val="multilevel"/>
    <w:tmpl w:val="A5BA8250"/>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6" w15:restartNumberingAfterBreak="0">
    <w:nsid w:val="4C96557C"/>
    <w:multiLevelType w:val="multilevel"/>
    <w:tmpl w:val="AF1666DC"/>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8D94A81"/>
    <w:multiLevelType w:val="hybridMultilevel"/>
    <w:tmpl w:val="E65A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02A27"/>
    <w:multiLevelType w:val="multilevel"/>
    <w:tmpl w:val="E932A8FE"/>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50B70DC"/>
    <w:multiLevelType w:val="hybridMultilevel"/>
    <w:tmpl w:val="D702FAC6"/>
    <w:lvl w:ilvl="0" w:tplc="3EA6D6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9"/>
  </w:num>
  <w:num w:numId="4">
    <w:abstractNumId w:val="11"/>
  </w:num>
  <w:num w:numId="5">
    <w:abstractNumId w:val="15"/>
  </w:num>
  <w:num w:numId="6">
    <w:abstractNumId w:val="13"/>
  </w:num>
  <w:num w:numId="7">
    <w:abstractNumId w:val="18"/>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0"/>
  </w:num>
  <w:num w:numId="19">
    <w:abstractNumId w:val="19"/>
  </w:num>
  <w:num w:numId="2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ZA" w:vendorID="64" w:dllVersion="0" w:nlCheck="1" w:checkStyle="0"/>
  <w:proofState w:spelling="clean" w:grammar="clean"/>
  <w:attachedTemplate r:id="rId1"/>
  <w:stylePaneFormatFilter w:val="1C01" w:allStyles="1" w:customStyles="0" w:latentStyles="0" w:stylesInUse="0" w:headingStyles="0" w:numberingStyles="0" w:tableStyles="0" w:directFormattingOnRuns="0" w:directFormattingOnParagraphs="0" w:directFormattingOnNumbering="1" w:directFormattingOnTables="1" w:clearFormatting="1" w:top3HeadingStyles="0"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09"/>
    <w:rsid w:val="0000494B"/>
    <w:rsid w:val="00006899"/>
    <w:rsid w:val="0001273C"/>
    <w:rsid w:val="00012BD6"/>
    <w:rsid w:val="000169E3"/>
    <w:rsid w:val="00017F40"/>
    <w:rsid w:val="00027EF9"/>
    <w:rsid w:val="00037943"/>
    <w:rsid w:val="00041A7B"/>
    <w:rsid w:val="0004542C"/>
    <w:rsid w:val="00047244"/>
    <w:rsid w:val="00066A25"/>
    <w:rsid w:val="000747B5"/>
    <w:rsid w:val="00075AD3"/>
    <w:rsid w:val="00077EF9"/>
    <w:rsid w:val="00082DF1"/>
    <w:rsid w:val="00093CD8"/>
    <w:rsid w:val="000948CF"/>
    <w:rsid w:val="0009718F"/>
    <w:rsid w:val="000C6C01"/>
    <w:rsid w:val="0010568D"/>
    <w:rsid w:val="00115679"/>
    <w:rsid w:val="001217E3"/>
    <w:rsid w:val="00122315"/>
    <w:rsid w:val="00126822"/>
    <w:rsid w:val="00127638"/>
    <w:rsid w:val="001302E3"/>
    <w:rsid w:val="001307BF"/>
    <w:rsid w:val="0013184C"/>
    <w:rsid w:val="00135127"/>
    <w:rsid w:val="00140639"/>
    <w:rsid w:val="00141E12"/>
    <w:rsid w:val="00171FB5"/>
    <w:rsid w:val="001749BD"/>
    <w:rsid w:val="001778B4"/>
    <w:rsid w:val="0018044C"/>
    <w:rsid w:val="0019007D"/>
    <w:rsid w:val="001900F1"/>
    <w:rsid w:val="00190863"/>
    <w:rsid w:val="0019502E"/>
    <w:rsid w:val="001978A1"/>
    <w:rsid w:val="001A0D9F"/>
    <w:rsid w:val="001A3493"/>
    <w:rsid w:val="001A532E"/>
    <w:rsid w:val="001B1642"/>
    <w:rsid w:val="001B1C5E"/>
    <w:rsid w:val="001D132C"/>
    <w:rsid w:val="001D3398"/>
    <w:rsid w:val="001D40C0"/>
    <w:rsid w:val="001E77DA"/>
    <w:rsid w:val="001F1863"/>
    <w:rsid w:val="001F7DD8"/>
    <w:rsid w:val="00211FEA"/>
    <w:rsid w:val="002126BA"/>
    <w:rsid w:val="002244C6"/>
    <w:rsid w:val="00225560"/>
    <w:rsid w:val="00235C24"/>
    <w:rsid w:val="002542B0"/>
    <w:rsid w:val="00256256"/>
    <w:rsid w:val="00257D16"/>
    <w:rsid w:val="00260F91"/>
    <w:rsid w:val="00263AB4"/>
    <w:rsid w:val="00275E18"/>
    <w:rsid w:val="00281322"/>
    <w:rsid w:val="002851AB"/>
    <w:rsid w:val="00294131"/>
    <w:rsid w:val="002B0744"/>
    <w:rsid w:val="002B7896"/>
    <w:rsid w:val="002D7E4F"/>
    <w:rsid w:val="002E1D81"/>
    <w:rsid w:val="002E1FD6"/>
    <w:rsid w:val="002E59AC"/>
    <w:rsid w:val="002F1435"/>
    <w:rsid w:val="002F2173"/>
    <w:rsid w:val="002F59D0"/>
    <w:rsid w:val="00304066"/>
    <w:rsid w:val="003209A6"/>
    <w:rsid w:val="00324AF8"/>
    <w:rsid w:val="00332954"/>
    <w:rsid w:val="00335606"/>
    <w:rsid w:val="00341956"/>
    <w:rsid w:val="003575A2"/>
    <w:rsid w:val="003626FC"/>
    <w:rsid w:val="0036502E"/>
    <w:rsid w:val="00366D1B"/>
    <w:rsid w:val="00370133"/>
    <w:rsid w:val="00375945"/>
    <w:rsid w:val="00381A97"/>
    <w:rsid w:val="00381EC6"/>
    <w:rsid w:val="00392C80"/>
    <w:rsid w:val="0039375B"/>
    <w:rsid w:val="003A1D85"/>
    <w:rsid w:val="003A1E79"/>
    <w:rsid w:val="003A45BA"/>
    <w:rsid w:val="003A7BE7"/>
    <w:rsid w:val="003B4830"/>
    <w:rsid w:val="003D6EB9"/>
    <w:rsid w:val="003E5E61"/>
    <w:rsid w:val="003F2608"/>
    <w:rsid w:val="003F7CF5"/>
    <w:rsid w:val="00401D79"/>
    <w:rsid w:val="00402B9B"/>
    <w:rsid w:val="00405F59"/>
    <w:rsid w:val="00411876"/>
    <w:rsid w:val="00422590"/>
    <w:rsid w:val="004236EB"/>
    <w:rsid w:val="00423C6E"/>
    <w:rsid w:val="00426DD5"/>
    <w:rsid w:val="00431458"/>
    <w:rsid w:val="00441C83"/>
    <w:rsid w:val="00450DFE"/>
    <w:rsid w:val="00460A53"/>
    <w:rsid w:val="0046798C"/>
    <w:rsid w:val="0047226A"/>
    <w:rsid w:val="0047277C"/>
    <w:rsid w:val="004776A3"/>
    <w:rsid w:val="00482816"/>
    <w:rsid w:val="00484010"/>
    <w:rsid w:val="004858C8"/>
    <w:rsid w:val="00492DF0"/>
    <w:rsid w:val="004938C9"/>
    <w:rsid w:val="00497138"/>
    <w:rsid w:val="004A2B34"/>
    <w:rsid w:val="004A41AB"/>
    <w:rsid w:val="004A6947"/>
    <w:rsid w:val="004A6F75"/>
    <w:rsid w:val="004A71EC"/>
    <w:rsid w:val="004B65C7"/>
    <w:rsid w:val="004C3E76"/>
    <w:rsid w:val="004D055A"/>
    <w:rsid w:val="004E0AE0"/>
    <w:rsid w:val="004E43DF"/>
    <w:rsid w:val="004E4DDE"/>
    <w:rsid w:val="004E533E"/>
    <w:rsid w:val="004E75EA"/>
    <w:rsid w:val="004E7D05"/>
    <w:rsid w:val="004F6F8D"/>
    <w:rsid w:val="00500656"/>
    <w:rsid w:val="005008BF"/>
    <w:rsid w:val="00502F51"/>
    <w:rsid w:val="00503B6F"/>
    <w:rsid w:val="005126EB"/>
    <w:rsid w:val="005165E7"/>
    <w:rsid w:val="00516939"/>
    <w:rsid w:val="00517057"/>
    <w:rsid w:val="00520A64"/>
    <w:rsid w:val="005316CF"/>
    <w:rsid w:val="00535C16"/>
    <w:rsid w:val="00537C42"/>
    <w:rsid w:val="00544767"/>
    <w:rsid w:val="0054653D"/>
    <w:rsid w:val="00552051"/>
    <w:rsid w:val="00555D89"/>
    <w:rsid w:val="00566F99"/>
    <w:rsid w:val="005702C0"/>
    <w:rsid w:val="00570DEB"/>
    <w:rsid w:val="00577B79"/>
    <w:rsid w:val="005867E2"/>
    <w:rsid w:val="00597780"/>
    <w:rsid w:val="005B6C4B"/>
    <w:rsid w:val="005B6CF8"/>
    <w:rsid w:val="005C1694"/>
    <w:rsid w:val="005C18D5"/>
    <w:rsid w:val="005D3571"/>
    <w:rsid w:val="005E40B2"/>
    <w:rsid w:val="005E5187"/>
    <w:rsid w:val="005E59AD"/>
    <w:rsid w:val="005E624D"/>
    <w:rsid w:val="005F2A69"/>
    <w:rsid w:val="005F3702"/>
    <w:rsid w:val="005F42CA"/>
    <w:rsid w:val="005F6F48"/>
    <w:rsid w:val="005F70EA"/>
    <w:rsid w:val="00600202"/>
    <w:rsid w:val="006013CF"/>
    <w:rsid w:val="00610469"/>
    <w:rsid w:val="006146D7"/>
    <w:rsid w:val="0061562D"/>
    <w:rsid w:val="00616F7F"/>
    <w:rsid w:val="006223A5"/>
    <w:rsid w:val="00630A76"/>
    <w:rsid w:val="00630A8C"/>
    <w:rsid w:val="006359CE"/>
    <w:rsid w:val="00643233"/>
    <w:rsid w:val="0065022A"/>
    <w:rsid w:val="006522C8"/>
    <w:rsid w:val="006538C4"/>
    <w:rsid w:val="00653D5E"/>
    <w:rsid w:val="00661478"/>
    <w:rsid w:val="006620B6"/>
    <w:rsid w:val="00670E3E"/>
    <w:rsid w:val="0068096D"/>
    <w:rsid w:val="00680F91"/>
    <w:rsid w:val="0069138E"/>
    <w:rsid w:val="006A674C"/>
    <w:rsid w:val="006A7AEE"/>
    <w:rsid w:val="006B1412"/>
    <w:rsid w:val="006B6E38"/>
    <w:rsid w:val="006D0E89"/>
    <w:rsid w:val="006D3233"/>
    <w:rsid w:val="006D4289"/>
    <w:rsid w:val="006E3D46"/>
    <w:rsid w:val="006E466C"/>
    <w:rsid w:val="006F2C3A"/>
    <w:rsid w:val="00701B36"/>
    <w:rsid w:val="007031A2"/>
    <w:rsid w:val="007109E9"/>
    <w:rsid w:val="007158FB"/>
    <w:rsid w:val="00715A95"/>
    <w:rsid w:val="00721B0D"/>
    <w:rsid w:val="00723DDC"/>
    <w:rsid w:val="007246BF"/>
    <w:rsid w:val="00730E8E"/>
    <w:rsid w:val="007425B4"/>
    <w:rsid w:val="007461DE"/>
    <w:rsid w:val="007502D4"/>
    <w:rsid w:val="007559FD"/>
    <w:rsid w:val="00787418"/>
    <w:rsid w:val="007A4B85"/>
    <w:rsid w:val="007A50DB"/>
    <w:rsid w:val="007A67D9"/>
    <w:rsid w:val="007A6A6F"/>
    <w:rsid w:val="007B173B"/>
    <w:rsid w:val="007C10A4"/>
    <w:rsid w:val="007D0C92"/>
    <w:rsid w:val="007D290C"/>
    <w:rsid w:val="007E0F2E"/>
    <w:rsid w:val="007E106E"/>
    <w:rsid w:val="007E3774"/>
    <w:rsid w:val="007E597F"/>
    <w:rsid w:val="007E6973"/>
    <w:rsid w:val="007F6C50"/>
    <w:rsid w:val="00801B21"/>
    <w:rsid w:val="00806C70"/>
    <w:rsid w:val="0081028E"/>
    <w:rsid w:val="00816928"/>
    <w:rsid w:val="008244E4"/>
    <w:rsid w:val="0084207E"/>
    <w:rsid w:val="0084559A"/>
    <w:rsid w:val="00850C49"/>
    <w:rsid w:val="008524D0"/>
    <w:rsid w:val="00855BAF"/>
    <w:rsid w:val="00871755"/>
    <w:rsid w:val="00877690"/>
    <w:rsid w:val="00881924"/>
    <w:rsid w:val="0089442B"/>
    <w:rsid w:val="008A3050"/>
    <w:rsid w:val="008A4C31"/>
    <w:rsid w:val="008B6C9E"/>
    <w:rsid w:val="008C0231"/>
    <w:rsid w:val="008C1B8D"/>
    <w:rsid w:val="008C289C"/>
    <w:rsid w:val="008C4002"/>
    <w:rsid w:val="008C76F9"/>
    <w:rsid w:val="008D32C9"/>
    <w:rsid w:val="008E2E72"/>
    <w:rsid w:val="008F0028"/>
    <w:rsid w:val="008F25A3"/>
    <w:rsid w:val="00900246"/>
    <w:rsid w:val="00903DB9"/>
    <w:rsid w:val="009041C0"/>
    <w:rsid w:val="00905905"/>
    <w:rsid w:val="009064F0"/>
    <w:rsid w:val="009079DE"/>
    <w:rsid w:val="00912298"/>
    <w:rsid w:val="00924290"/>
    <w:rsid w:val="00930E32"/>
    <w:rsid w:val="00936042"/>
    <w:rsid w:val="00940CAC"/>
    <w:rsid w:val="00947658"/>
    <w:rsid w:val="00951070"/>
    <w:rsid w:val="009552C0"/>
    <w:rsid w:val="00957D32"/>
    <w:rsid w:val="00964F99"/>
    <w:rsid w:val="0096618E"/>
    <w:rsid w:val="00970C60"/>
    <w:rsid w:val="0097105A"/>
    <w:rsid w:val="00974B27"/>
    <w:rsid w:val="00975F92"/>
    <w:rsid w:val="009766A0"/>
    <w:rsid w:val="009830C3"/>
    <w:rsid w:val="00991B3D"/>
    <w:rsid w:val="009939FF"/>
    <w:rsid w:val="00997178"/>
    <w:rsid w:val="009A0C7A"/>
    <w:rsid w:val="009A1778"/>
    <w:rsid w:val="009C01D9"/>
    <w:rsid w:val="009C25EC"/>
    <w:rsid w:val="009D3B1E"/>
    <w:rsid w:val="009D55EA"/>
    <w:rsid w:val="009D7A1F"/>
    <w:rsid w:val="009E2B4D"/>
    <w:rsid w:val="009E30B5"/>
    <w:rsid w:val="009E64ED"/>
    <w:rsid w:val="009F0F7D"/>
    <w:rsid w:val="00A029B7"/>
    <w:rsid w:val="00A103FA"/>
    <w:rsid w:val="00A2021B"/>
    <w:rsid w:val="00A240B2"/>
    <w:rsid w:val="00A25742"/>
    <w:rsid w:val="00A314EE"/>
    <w:rsid w:val="00A330CC"/>
    <w:rsid w:val="00A4318D"/>
    <w:rsid w:val="00A45739"/>
    <w:rsid w:val="00A46083"/>
    <w:rsid w:val="00A51F39"/>
    <w:rsid w:val="00A5247C"/>
    <w:rsid w:val="00A53314"/>
    <w:rsid w:val="00A56A04"/>
    <w:rsid w:val="00A63E77"/>
    <w:rsid w:val="00A719F4"/>
    <w:rsid w:val="00A72F91"/>
    <w:rsid w:val="00A748EA"/>
    <w:rsid w:val="00A75565"/>
    <w:rsid w:val="00A82F77"/>
    <w:rsid w:val="00A85947"/>
    <w:rsid w:val="00A85E4B"/>
    <w:rsid w:val="00A86E32"/>
    <w:rsid w:val="00A9075D"/>
    <w:rsid w:val="00A92E6C"/>
    <w:rsid w:val="00A96272"/>
    <w:rsid w:val="00AA19C5"/>
    <w:rsid w:val="00AB196D"/>
    <w:rsid w:val="00AB2732"/>
    <w:rsid w:val="00AE4A22"/>
    <w:rsid w:val="00AE4B5C"/>
    <w:rsid w:val="00AF3DBB"/>
    <w:rsid w:val="00B011E6"/>
    <w:rsid w:val="00B01E0A"/>
    <w:rsid w:val="00B13B06"/>
    <w:rsid w:val="00B14F49"/>
    <w:rsid w:val="00B161CF"/>
    <w:rsid w:val="00B21D29"/>
    <w:rsid w:val="00B2636B"/>
    <w:rsid w:val="00B33087"/>
    <w:rsid w:val="00B34DF6"/>
    <w:rsid w:val="00B36934"/>
    <w:rsid w:val="00B53668"/>
    <w:rsid w:val="00B56E49"/>
    <w:rsid w:val="00B70373"/>
    <w:rsid w:val="00B758D5"/>
    <w:rsid w:val="00B75901"/>
    <w:rsid w:val="00B842A1"/>
    <w:rsid w:val="00B92B03"/>
    <w:rsid w:val="00B973D8"/>
    <w:rsid w:val="00BA09B7"/>
    <w:rsid w:val="00BB522E"/>
    <w:rsid w:val="00BB6AEF"/>
    <w:rsid w:val="00BD1299"/>
    <w:rsid w:val="00BD3A8D"/>
    <w:rsid w:val="00BD73C1"/>
    <w:rsid w:val="00BE070F"/>
    <w:rsid w:val="00BE4709"/>
    <w:rsid w:val="00BF120B"/>
    <w:rsid w:val="00BF4579"/>
    <w:rsid w:val="00C0039D"/>
    <w:rsid w:val="00C01AB9"/>
    <w:rsid w:val="00C07B69"/>
    <w:rsid w:val="00C12454"/>
    <w:rsid w:val="00C12C69"/>
    <w:rsid w:val="00C1668A"/>
    <w:rsid w:val="00C20D1D"/>
    <w:rsid w:val="00C258FB"/>
    <w:rsid w:val="00C3154F"/>
    <w:rsid w:val="00C31965"/>
    <w:rsid w:val="00C405F3"/>
    <w:rsid w:val="00C541F0"/>
    <w:rsid w:val="00C62457"/>
    <w:rsid w:val="00C65BBC"/>
    <w:rsid w:val="00C72E21"/>
    <w:rsid w:val="00C754CF"/>
    <w:rsid w:val="00C81E89"/>
    <w:rsid w:val="00C824F3"/>
    <w:rsid w:val="00C95050"/>
    <w:rsid w:val="00CA1387"/>
    <w:rsid w:val="00CA1D7A"/>
    <w:rsid w:val="00CA20D2"/>
    <w:rsid w:val="00CA261E"/>
    <w:rsid w:val="00CB126B"/>
    <w:rsid w:val="00CB285C"/>
    <w:rsid w:val="00CC0106"/>
    <w:rsid w:val="00CD21A7"/>
    <w:rsid w:val="00CD548C"/>
    <w:rsid w:val="00CE6B64"/>
    <w:rsid w:val="00D0121D"/>
    <w:rsid w:val="00D019AE"/>
    <w:rsid w:val="00D1020A"/>
    <w:rsid w:val="00D2219C"/>
    <w:rsid w:val="00D2566E"/>
    <w:rsid w:val="00D328CA"/>
    <w:rsid w:val="00D51CAA"/>
    <w:rsid w:val="00D565A8"/>
    <w:rsid w:val="00D7421A"/>
    <w:rsid w:val="00D75F38"/>
    <w:rsid w:val="00D77741"/>
    <w:rsid w:val="00D7788D"/>
    <w:rsid w:val="00D84252"/>
    <w:rsid w:val="00D860CB"/>
    <w:rsid w:val="00D9589C"/>
    <w:rsid w:val="00D960B0"/>
    <w:rsid w:val="00DA0A6F"/>
    <w:rsid w:val="00DA11A8"/>
    <w:rsid w:val="00DB301F"/>
    <w:rsid w:val="00DB67C4"/>
    <w:rsid w:val="00DC1365"/>
    <w:rsid w:val="00DC778A"/>
    <w:rsid w:val="00DD0739"/>
    <w:rsid w:val="00DD0862"/>
    <w:rsid w:val="00DD4488"/>
    <w:rsid w:val="00DF1173"/>
    <w:rsid w:val="00DF5F42"/>
    <w:rsid w:val="00E13E9B"/>
    <w:rsid w:val="00E160C5"/>
    <w:rsid w:val="00E21B77"/>
    <w:rsid w:val="00E3290C"/>
    <w:rsid w:val="00E46A30"/>
    <w:rsid w:val="00E519B3"/>
    <w:rsid w:val="00E6145D"/>
    <w:rsid w:val="00E635D0"/>
    <w:rsid w:val="00E6493F"/>
    <w:rsid w:val="00E70722"/>
    <w:rsid w:val="00E80720"/>
    <w:rsid w:val="00E868C3"/>
    <w:rsid w:val="00E9597E"/>
    <w:rsid w:val="00E979EA"/>
    <w:rsid w:val="00EA1492"/>
    <w:rsid w:val="00EA36CF"/>
    <w:rsid w:val="00EA4412"/>
    <w:rsid w:val="00EA467C"/>
    <w:rsid w:val="00EA6357"/>
    <w:rsid w:val="00EC0467"/>
    <w:rsid w:val="00EC2675"/>
    <w:rsid w:val="00EC773B"/>
    <w:rsid w:val="00EC7C44"/>
    <w:rsid w:val="00ED339A"/>
    <w:rsid w:val="00ED5F29"/>
    <w:rsid w:val="00ED6BCD"/>
    <w:rsid w:val="00EE49CE"/>
    <w:rsid w:val="00EE5D58"/>
    <w:rsid w:val="00EE677E"/>
    <w:rsid w:val="00EF15B9"/>
    <w:rsid w:val="00EF47AC"/>
    <w:rsid w:val="00EF591A"/>
    <w:rsid w:val="00EF7837"/>
    <w:rsid w:val="00F05283"/>
    <w:rsid w:val="00F05980"/>
    <w:rsid w:val="00F1089D"/>
    <w:rsid w:val="00F20F98"/>
    <w:rsid w:val="00F21C2E"/>
    <w:rsid w:val="00F21D5D"/>
    <w:rsid w:val="00F27C90"/>
    <w:rsid w:val="00F3106B"/>
    <w:rsid w:val="00F313A1"/>
    <w:rsid w:val="00F37728"/>
    <w:rsid w:val="00F403F6"/>
    <w:rsid w:val="00F4088E"/>
    <w:rsid w:val="00F421CB"/>
    <w:rsid w:val="00F4461F"/>
    <w:rsid w:val="00F5103C"/>
    <w:rsid w:val="00F55FE2"/>
    <w:rsid w:val="00F72079"/>
    <w:rsid w:val="00F72E18"/>
    <w:rsid w:val="00F732D2"/>
    <w:rsid w:val="00F75CFE"/>
    <w:rsid w:val="00F774A0"/>
    <w:rsid w:val="00F83814"/>
    <w:rsid w:val="00F8479D"/>
    <w:rsid w:val="00F876CF"/>
    <w:rsid w:val="00FA17A1"/>
    <w:rsid w:val="00FA67D8"/>
    <w:rsid w:val="00FB12E1"/>
    <w:rsid w:val="00FB1ADF"/>
    <w:rsid w:val="00FC0C51"/>
    <w:rsid w:val="00FC360E"/>
    <w:rsid w:val="00FE5427"/>
    <w:rsid w:val="00FE5626"/>
    <w:rsid w:val="00FE5F5B"/>
    <w:rsid w:val="00FF38E3"/>
    <w:rsid w:val="00FF6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85EE3"/>
  <w15:chartTrackingRefBased/>
  <w15:docId w15:val="{3E2A1CBF-7D36-4F6D-8596-3EE19879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Normal Indent" w:semiHidden="1"/>
    <w:lsdException w:name="index heading" w:semiHidden="1"/>
    <w:lsdException w:name="caption" w:semiHidden="1" w:qFormat="1"/>
    <w:lsdException w:name="table of figures" w:semiHidden="1"/>
    <w:lsdException w:name="envelope address" w:semiHidden="1"/>
    <w:lsdException w:name="envelope return" w:semiHidden="1"/>
    <w:lsdException w:name="line number"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A2021B"/>
    <w:pPr>
      <w:suppressAutoHyphens/>
    </w:pPr>
    <w:rPr>
      <w:rFonts w:ascii="Arial" w:hAnsi="Arial"/>
      <w:sz w:val="22"/>
      <w:szCs w:val="24"/>
    </w:rPr>
  </w:style>
  <w:style w:type="paragraph" w:styleId="Heading1">
    <w:name w:val="heading 1"/>
    <w:basedOn w:val="Normal"/>
    <w:next w:val="Normal"/>
    <w:semiHidden/>
    <w:qFormat/>
    <w:rsid w:val="00C754CF"/>
    <w:pPr>
      <w:keepNext/>
      <w:spacing w:before="240" w:after="60"/>
      <w:outlineLvl w:val="0"/>
    </w:pPr>
    <w:rPr>
      <w:rFonts w:cs="Arial"/>
      <w:b/>
      <w:bCs/>
      <w:kern w:val="32"/>
      <w:sz w:val="32"/>
      <w:szCs w:val="32"/>
    </w:rPr>
  </w:style>
  <w:style w:type="paragraph" w:styleId="Heading2">
    <w:name w:val="heading 2"/>
    <w:basedOn w:val="Normal"/>
    <w:next w:val="Normal"/>
    <w:semiHidden/>
    <w:qFormat/>
    <w:rsid w:val="00975F92"/>
    <w:pPr>
      <w:keepNext/>
      <w:spacing w:before="240" w:after="60"/>
      <w:outlineLvl w:val="1"/>
    </w:pPr>
    <w:rPr>
      <w:rFonts w:cs="Arial"/>
      <w:b/>
      <w:bCs/>
      <w:i/>
      <w:iCs/>
      <w:sz w:val="28"/>
      <w:szCs w:val="28"/>
    </w:rPr>
  </w:style>
  <w:style w:type="paragraph" w:styleId="Heading3">
    <w:name w:val="heading 3"/>
    <w:basedOn w:val="Normal"/>
    <w:next w:val="Normal"/>
    <w:semiHidden/>
    <w:qFormat/>
    <w:rsid w:val="00975F9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A46083"/>
    <w:rPr>
      <w:rFonts w:cs="Times New Roman"/>
      <w:vertAlign w:val="superscript"/>
    </w:rPr>
  </w:style>
  <w:style w:type="paragraph" w:styleId="EndnoteText">
    <w:name w:val="endnote text"/>
    <w:basedOn w:val="Normal"/>
    <w:semiHidden/>
    <w:rsid w:val="002E1D81"/>
    <w:pPr>
      <w:tabs>
        <w:tab w:val="left" w:pos="340"/>
      </w:tabs>
      <w:spacing w:after="60"/>
      <w:ind w:left="340" w:hanging="340"/>
      <w:jc w:val="both"/>
    </w:pPr>
    <w:rPr>
      <w:sz w:val="20"/>
      <w:szCs w:val="20"/>
    </w:rPr>
  </w:style>
  <w:style w:type="character" w:customStyle="1" w:styleId="WWFilename">
    <w:name w:val="WW_Filename"/>
    <w:rsid w:val="00D960B0"/>
    <w:rPr>
      <w:rFonts w:cs="Times New Roman"/>
      <w:sz w:val="16"/>
    </w:rPr>
  </w:style>
  <w:style w:type="paragraph" w:styleId="Footer">
    <w:name w:val="footer"/>
    <w:basedOn w:val="Normal"/>
    <w:semiHidden/>
    <w:rsid w:val="00C65BBC"/>
    <w:pPr>
      <w:tabs>
        <w:tab w:val="center" w:pos="4253"/>
        <w:tab w:val="right" w:pos="8505"/>
      </w:tabs>
      <w:jc w:val="both"/>
    </w:pPr>
  </w:style>
  <w:style w:type="character" w:styleId="FootnoteReference">
    <w:name w:val="footnote reference"/>
    <w:semiHidden/>
    <w:rsid w:val="00A46083"/>
    <w:rPr>
      <w:rFonts w:cs="Times New Roman"/>
      <w:sz w:val="22"/>
      <w:vertAlign w:val="superscript"/>
    </w:rPr>
  </w:style>
  <w:style w:type="paragraph" w:styleId="FootnoteText">
    <w:name w:val="footnote text"/>
    <w:basedOn w:val="Normal"/>
    <w:semiHidden/>
    <w:rsid w:val="002E1D81"/>
    <w:pPr>
      <w:tabs>
        <w:tab w:val="left" w:pos="340"/>
      </w:tabs>
      <w:spacing w:after="60"/>
      <w:ind w:left="340" w:hanging="340"/>
      <w:jc w:val="both"/>
    </w:pPr>
    <w:rPr>
      <w:sz w:val="18"/>
      <w:szCs w:val="20"/>
    </w:rPr>
  </w:style>
  <w:style w:type="paragraph" w:styleId="Header">
    <w:name w:val="header"/>
    <w:basedOn w:val="Normal"/>
    <w:semiHidden/>
    <w:rsid w:val="00141E12"/>
    <w:pPr>
      <w:tabs>
        <w:tab w:val="center" w:pos="4253"/>
        <w:tab w:val="right" w:pos="8505"/>
      </w:tabs>
      <w:jc w:val="both"/>
    </w:pPr>
  </w:style>
  <w:style w:type="character" w:styleId="PageNumber">
    <w:name w:val="page number"/>
    <w:semiHidden/>
    <w:rsid w:val="00A46083"/>
    <w:rPr>
      <w:rFonts w:cs="Times New Roman"/>
      <w:sz w:val="22"/>
    </w:rPr>
  </w:style>
  <w:style w:type="paragraph" w:styleId="TOC1">
    <w:name w:val="toc 1"/>
    <w:basedOn w:val="Normal"/>
    <w:next w:val="Normal"/>
    <w:autoRedefine/>
    <w:unhideWhenUsed/>
    <w:rsid w:val="00441C83"/>
    <w:pPr>
      <w:tabs>
        <w:tab w:val="left" w:pos="567"/>
        <w:tab w:val="right" w:leader="dot" w:pos="8789"/>
      </w:tabs>
      <w:spacing w:before="120"/>
      <w:ind w:left="567" w:right="567" w:hanging="567"/>
    </w:pPr>
  </w:style>
  <w:style w:type="paragraph" w:styleId="TOC2">
    <w:name w:val="toc 2"/>
    <w:basedOn w:val="Normal"/>
    <w:next w:val="Normal"/>
    <w:autoRedefine/>
    <w:unhideWhenUsed/>
    <w:rsid w:val="00441C83"/>
    <w:pPr>
      <w:tabs>
        <w:tab w:val="left" w:pos="1134"/>
        <w:tab w:val="right" w:leader="dot" w:pos="8789"/>
      </w:tabs>
      <w:spacing w:before="120"/>
      <w:ind w:left="1134" w:right="567" w:hanging="1134"/>
    </w:pPr>
  </w:style>
  <w:style w:type="paragraph" w:styleId="TOC3">
    <w:name w:val="toc 3"/>
    <w:basedOn w:val="Normal"/>
    <w:next w:val="Normal"/>
    <w:autoRedefine/>
    <w:unhideWhenUsed/>
    <w:rsid w:val="00C72E21"/>
    <w:pPr>
      <w:tabs>
        <w:tab w:val="left" w:pos="1701"/>
        <w:tab w:val="right" w:leader="dot" w:pos="8448"/>
      </w:tabs>
      <w:spacing w:before="120"/>
      <w:ind w:left="1701" w:right="680" w:hanging="1701"/>
    </w:pPr>
  </w:style>
  <w:style w:type="paragraph" w:styleId="TOC4">
    <w:name w:val="toc 4"/>
    <w:basedOn w:val="Normal"/>
    <w:next w:val="Normal"/>
    <w:autoRedefine/>
    <w:semiHidden/>
    <w:rsid w:val="007A6A6F"/>
    <w:pPr>
      <w:tabs>
        <w:tab w:val="left" w:pos="2041"/>
        <w:tab w:val="right" w:leader="dot" w:pos="8448"/>
      </w:tabs>
      <w:spacing w:before="120"/>
      <w:jc w:val="both"/>
    </w:pPr>
  </w:style>
  <w:style w:type="paragraph" w:customStyle="1" w:styleId="WWList1">
    <w:name w:val="WW_List1"/>
    <w:basedOn w:val="WWHeading1"/>
    <w:rsid w:val="007425B4"/>
    <w:pPr>
      <w:keepNext w:val="0"/>
      <w:spacing w:before="0"/>
    </w:pPr>
    <w:rPr>
      <w:b w:val="0"/>
    </w:rPr>
  </w:style>
  <w:style w:type="paragraph" w:customStyle="1" w:styleId="WWAnnexHead1">
    <w:name w:val="WW_AnnexHead1"/>
    <w:basedOn w:val="WWHead"/>
    <w:next w:val="WWAnnexList2"/>
    <w:rsid w:val="00816928"/>
    <w:pPr>
      <w:numPr>
        <w:numId w:val="6"/>
      </w:numPr>
      <w:spacing w:before="240"/>
      <w:outlineLvl w:val="0"/>
    </w:pPr>
  </w:style>
  <w:style w:type="paragraph" w:customStyle="1" w:styleId="WWAnnexHead2">
    <w:name w:val="WW_AnnexHead2"/>
    <w:basedOn w:val="WWHead"/>
    <w:next w:val="WWAnnexList3"/>
    <w:rsid w:val="008F0028"/>
    <w:pPr>
      <w:numPr>
        <w:ilvl w:val="1"/>
        <w:numId w:val="6"/>
      </w:numPr>
      <w:tabs>
        <w:tab w:val="left" w:pos="3402"/>
        <w:tab w:val="left" w:pos="3969"/>
      </w:tabs>
      <w:outlineLvl w:val="1"/>
    </w:pPr>
  </w:style>
  <w:style w:type="paragraph" w:customStyle="1" w:styleId="WWAnnexHead3">
    <w:name w:val="WW_AnnexHead3"/>
    <w:basedOn w:val="WWHead"/>
    <w:next w:val="WWAnnexList4"/>
    <w:rsid w:val="008F0028"/>
    <w:pPr>
      <w:numPr>
        <w:ilvl w:val="2"/>
        <w:numId w:val="6"/>
      </w:numPr>
      <w:tabs>
        <w:tab w:val="left" w:pos="3969"/>
        <w:tab w:val="left" w:pos="4536"/>
      </w:tabs>
      <w:outlineLvl w:val="2"/>
    </w:pPr>
  </w:style>
  <w:style w:type="paragraph" w:customStyle="1" w:styleId="WWAnnexHead4">
    <w:name w:val="WW_AnnexHead4"/>
    <w:basedOn w:val="WWHead"/>
    <w:next w:val="WWAnnexList5"/>
    <w:rsid w:val="008F0028"/>
    <w:pPr>
      <w:numPr>
        <w:ilvl w:val="3"/>
        <w:numId w:val="6"/>
      </w:numPr>
      <w:outlineLvl w:val="3"/>
    </w:pPr>
  </w:style>
  <w:style w:type="paragraph" w:customStyle="1" w:styleId="WWAnnexHead5">
    <w:name w:val="WW_AnnexHead5"/>
    <w:basedOn w:val="WWHead"/>
    <w:next w:val="WWAnnexList6"/>
    <w:rsid w:val="008F0028"/>
    <w:pPr>
      <w:numPr>
        <w:ilvl w:val="4"/>
        <w:numId w:val="6"/>
      </w:numPr>
      <w:outlineLvl w:val="4"/>
    </w:pPr>
  </w:style>
  <w:style w:type="paragraph" w:styleId="DocumentMap">
    <w:name w:val="Document Map"/>
    <w:basedOn w:val="Normal"/>
    <w:semiHidden/>
    <w:rsid w:val="00A92E6C"/>
    <w:pPr>
      <w:shd w:val="clear" w:color="auto" w:fill="000080"/>
    </w:pPr>
    <w:rPr>
      <w:rFonts w:ascii="Tahoma" w:hAnsi="Tahoma" w:cs="Tahoma"/>
      <w:sz w:val="20"/>
      <w:szCs w:val="20"/>
    </w:rPr>
  </w:style>
  <w:style w:type="paragraph" w:customStyle="1" w:styleId="WWList2">
    <w:name w:val="WW_List2"/>
    <w:basedOn w:val="WWHeading2"/>
    <w:rsid w:val="00A46083"/>
    <w:pPr>
      <w:keepNext w:val="0"/>
    </w:pPr>
    <w:rPr>
      <w:b w:val="0"/>
    </w:rPr>
  </w:style>
  <w:style w:type="character" w:styleId="Hyperlink">
    <w:name w:val="Hyperlink"/>
    <w:semiHidden/>
    <w:rsid w:val="00C72E21"/>
    <w:rPr>
      <w:color w:val="0000FF"/>
      <w:u w:val="single"/>
    </w:rPr>
  </w:style>
  <w:style w:type="paragraph" w:customStyle="1" w:styleId="WWBodyText1">
    <w:name w:val="WW_BodyText1"/>
    <w:basedOn w:val="WWBodyText"/>
    <w:rsid w:val="00A46083"/>
    <w:pPr>
      <w:ind w:left="567"/>
    </w:pPr>
  </w:style>
  <w:style w:type="paragraph" w:customStyle="1" w:styleId="WWBodyText10">
    <w:name w:val="WW_BodyText10"/>
    <w:basedOn w:val="WWBodyText"/>
    <w:rsid w:val="00A46083"/>
    <w:pPr>
      <w:ind w:left="5670"/>
    </w:pPr>
  </w:style>
  <w:style w:type="paragraph" w:customStyle="1" w:styleId="WWBodyText2">
    <w:name w:val="WW_BodyText2"/>
    <w:basedOn w:val="WWBodyText"/>
    <w:rsid w:val="007A50DB"/>
    <w:pPr>
      <w:tabs>
        <w:tab w:val="left" w:pos="3402"/>
        <w:tab w:val="left" w:pos="3969"/>
      </w:tabs>
      <w:ind w:left="1134"/>
    </w:pPr>
  </w:style>
  <w:style w:type="paragraph" w:customStyle="1" w:styleId="WWBodyText3">
    <w:name w:val="WW_BodyText3"/>
    <w:basedOn w:val="WWBodyText"/>
    <w:rsid w:val="007A50DB"/>
    <w:pPr>
      <w:tabs>
        <w:tab w:val="left" w:pos="3969"/>
        <w:tab w:val="left" w:pos="4536"/>
      </w:tabs>
      <w:ind w:left="1701"/>
    </w:pPr>
  </w:style>
  <w:style w:type="paragraph" w:customStyle="1" w:styleId="WWBodyText4">
    <w:name w:val="WW_BodyText4"/>
    <w:basedOn w:val="WWBodyText"/>
    <w:rsid w:val="00A46083"/>
    <w:pPr>
      <w:ind w:left="2268"/>
    </w:pPr>
  </w:style>
  <w:style w:type="paragraph" w:customStyle="1" w:styleId="WWBodyText5">
    <w:name w:val="WW_BodyText5"/>
    <w:basedOn w:val="WWBodyText"/>
    <w:rsid w:val="00A46083"/>
    <w:pPr>
      <w:ind w:left="2835"/>
    </w:pPr>
  </w:style>
  <w:style w:type="paragraph" w:customStyle="1" w:styleId="WWBodyText6">
    <w:name w:val="WW_BodyText6"/>
    <w:basedOn w:val="WWBodyText"/>
    <w:rsid w:val="00A46083"/>
    <w:pPr>
      <w:ind w:left="3402"/>
    </w:pPr>
  </w:style>
  <w:style w:type="paragraph" w:customStyle="1" w:styleId="WWBodyText7">
    <w:name w:val="WW_BodyText7"/>
    <w:basedOn w:val="WWBodyText"/>
    <w:rsid w:val="00A46083"/>
    <w:pPr>
      <w:ind w:left="3969"/>
    </w:pPr>
  </w:style>
  <w:style w:type="paragraph" w:customStyle="1" w:styleId="WWBodyText8">
    <w:name w:val="WW_BodyText8"/>
    <w:basedOn w:val="WWBodyText"/>
    <w:rsid w:val="00A46083"/>
    <w:pPr>
      <w:ind w:left="4536"/>
    </w:pPr>
  </w:style>
  <w:style w:type="paragraph" w:customStyle="1" w:styleId="WWBodyText9">
    <w:name w:val="WW_BodyText9"/>
    <w:basedOn w:val="WWBodyText"/>
    <w:rsid w:val="00A46083"/>
    <w:pPr>
      <w:ind w:left="5103"/>
    </w:pPr>
  </w:style>
  <w:style w:type="paragraph" w:customStyle="1" w:styleId="WWHeading1">
    <w:name w:val="WW_Heading1"/>
    <w:basedOn w:val="WWHead"/>
    <w:next w:val="WWList2"/>
    <w:rsid w:val="00816928"/>
    <w:pPr>
      <w:numPr>
        <w:numId w:val="5"/>
      </w:numPr>
      <w:spacing w:before="240"/>
      <w:outlineLvl w:val="0"/>
    </w:pPr>
  </w:style>
  <w:style w:type="paragraph" w:customStyle="1" w:styleId="WWHeading2">
    <w:name w:val="WW_Heading2"/>
    <w:basedOn w:val="WWHead"/>
    <w:next w:val="WWList3"/>
    <w:rsid w:val="008F0028"/>
    <w:pPr>
      <w:numPr>
        <w:ilvl w:val="1"/>
        <w:numId w:val="5"/>
      </w:numPr>
      <w:tabs>
        <w:tab w:val="left" w:pos="3402"/>
        <w:tab w:val="left" w:pos="3969"/>
      </w:tabs>
      <w:outlineLvl w:val="1"/>
    </w:pPr>
  </w:style>
  <w:style w:type="paragraph" w:customStyle="1" w:styleId="WWHeading3">
    <w:name w:val="WW_Heading3"/>
    <w:basedOn w:val="WWHead"/>
    <w:next w:val="WWList4"/>
    <w:rsid w:val="008F0028"/>
    <w:pPr>
      <w:numPr>
        <w:ilvl w:val="2"/>
        <w:numId w:val="5"/>
      </w:numPr>
      <w:tabs>
        <w:tab w:val="left" w:pos="3969"/>
        <w:tab w:val="left" w:pos="4536"/>
      </w:tabs>
      <w:outlineLvl w:val="2"/>
    </w:pPr>
  </w:style>
  <w:style w:type="paragraph" w:customStyle="1" w:styleId="WWHeading4">
    <w:name w:val="WW_Heading4"/>
    <w:basedOn w:val="WWHead"/>
    <w:next w:val="WWList5"/>
    <w:rsid w:val="008F0028"/>
    <w:pPr>
      <w:numPr>
        <w:ilvl w:val="3"/>
        <w:numId w:val="5"/>
      </w:numPr>
      <w:outlineLvl w:val="3"/>
    </w:pPr>
  </w:style>
  <w:style w:type="paragraph" w:customStyle="1" w:styleId="WWHeading5">
    <w:name w:val="WW_Heading5"/>
    <w:basedOn w:val="WWHead"/>
    <w:next w:val="WWList6"/>
    <w:rsid w:val="008F0028"/>
    <w:pPr>
      <w:numPr>
        <w:ilvl w:val="4"/>
        <w:numId w:val="5"/>
      </w:numPr>
      <w:outlineLvl w:val="4"/>
    </w:pPr>
  </w:style>
  <w:style w:type="paragraph" w:customStyle="1" w:styleId="WWTitleCentre">
    <w:name w:val="WW_TitleCentre"/>
    <w:basedOn w:val="WWBodyText"/>
    <w:next w:val="WWBodyText"/>
    <w:rsid w:val="00974B27"/>
    <w:pPr>
      <w:keepNext/>
      <w:jc w:val="center"/>
    </w:pPr>
    <w:rPr>
      <w:b/>
    </w:rPr>
  </w:style>
  <w:style w:type="paragraph" w:customStyle="1" w:styleId="WWList3">
    <w:name w:val="WW_List3"/>
    <w:basedOn w:val="WWHeading3"/>
    <w:rsid w:val="00A46083"/>
    <w:pPr>
      <w:keepNext w:val="0"/>
    </w:pPr>
    <w:rPr>
      <w:b w:val="0"/>
    </w:rPr>
  </w:style>
  <w:style w:type="paragraph" w:customStyle="1" w:styleId="WWSectionAlpha">
    <w:name w:val="WW_SectionAlpha"/>
    <w:basedOn w:val="WWBodyText"/>
    <w:next w:val="WWBodyText"/>
    <w:rsid w:val="00F421CB"/>
    <w:pPr>
      <w:keepNext/>
      <w:numPr>
        <w:numId w:val="1"/>
      </w:numPr>
    </w:pPr>
    <w:rPr>
      <w:b/>
      <w:spacing w:val="2"/>
    </w:rPr>
  </w:style>
  <w:style w:type="paragraph" w:customStyle="1" w:styleId="WWRecital1">
    <w:name w:val="WW_Recital1"/>
    <w:basedOn w:val="WWBodyText"/>
    <w:rsid w:val="003626FC"/>
    <w:pPr>
      <w:numPr>
        <w:numId w:val="4"/>
      </w:numPr>
      <w:outlineLvl w:val="0"/>
    </w:pPr>
  </w:style>
  <w:style w:type="paragraph" w:customStyle="1" w:styleId="WWList4">
    <w:name w:val="WW_List4"/>
    <w:basedOn w:val="WWHeading4"/>
    <w:rsid w:val="00A46083"/>
    <w:pPr>
      <w:keepNext w:val="0"/>
    </w:pPr>
    <w:rPr>
      <w:b w:val="0"/>
    </w:rPr>
  </w:style>
  <w:style w:type="paragraph" w:customStyle="1" w:styleId="WWList5">
    <w:name w:val="WW_List5"/>
    <w:basedOn w:val="WWHeading5"/>
    <w:rsid w:val="00A46083"/>
    <w:pPr>
      <w:keepNext w:val="0"/>
    </w:pPr>
    <w:rPr>
      <w:b w:val="0"/>
    </w:rPr>
  </w:style>
  <w:style w:type="table" w:styleId="TableGrid">
    <w:name w:val="Table Grid"/>
    <w:basedOn w:val="TableNormal"/>
    <w:semiHidden/>
    <w:rsid w:val="00450DFE"/>
    <w:pPr>
      <w:suppressAutoHyphens/>
      <w:spacing w:before="40" w:after="40" w:line="264"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semiHidden/>
    <w:qFormat/>
    <w:rsid w:val="00723DDC"/>
    <w:pPr>
      <w:keepNext/>
      <w:jc w:val="center"/>
    </w:pPr>
    <w:rPr>
      <w:rFonts w:cs="Arial"/>
      <w:b/>
      <w:bCs/>
      <w:caps/>
      <w:szCs w:val="32"/>
    </w:rPr>
  </w:style>
  <w:style w:type="character" w:styleId="CommentReference">
    <w:name w:val="annotation reference"/>
    <w:semiHidden/>
    <w:rsid w:val="005E5187"/>
    <w:rPr>
      <w:rFonts w:cs="Times New Roman"/>
      <w:sz w:val="16"/>
      <w:szCs w:val="16"/>
    </w:rPr>
  </w:style>
  <w:style w:type="paragraph" w:styleId="CommentText">
    <w:name w:val="annotation text"/>
    <w:basedOn w:val="Normal"/>
    <w:semiHidden/>
    <w:rsid w:val="00075AD3"/>
    <w:rPr>
      <w:sz w:val="16"/>
      <w:szCs w:val="20"/>
    </w:rPr>
  </w:style>
  <w:style w:type="paragraph" w:styleId="CommentSubject">
    <w:name w:val="annotation subject"/>
    <w:basedOn w:val="CommentText"/>
    <w:next w:val="CommentText"/>
    <w:semiHidden/>
    <w:rsid w:val="005E5187"/>
    <w:rPr>
      <w:b/>
      <w:bCs/>
    </w:rPr>
  </w:style>
  <w:style w:type="paragraph" w:styleId="BalloonText">
    <w:name w:val="Balloon Text"/>
    <w:basedOn w:val="Normal"/>
    <w:rsid w:val="005E5187"/>
    <w:rPr>
      <w:rFonts w:ascii="Tahoma" w:hAnsi="Tahoma" w:cs="Tahoma"/>
      <w:sz w:val="16"/>
      <w:szCs w:val="16"/>
    </w:rPr>
  </w:style>
  <w:style w:type="paragraph" w:customStyle="1" w:styleId="WWSection">
    <w:name w:val="WW_Section"/>
    <w:basedOn w:val="WWBodyText"/>
    <w:next w:val="WWBodyText"/>
    <w:rsid w:val="00F421CB"/>
    <w:pPr>
      <w:keepNext/>
    </w:pPr>
    <w:rPr>
      <w:b/>
    </w:rPr>
  </w:style>
  <w:style w:type="paragraph" w:customStyle="1" w:styleId="WWTramLines">
    <w:name w:val="WW_TramLines"/>
    <w:basedOn w:val="WWBodyText"/>
    <w:next w:val="WWBodyText"/>
    <w:rsid w:val="00C81E89"/>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rsid w:val="003F2608"/>
    <w:pPr>
      <w:tabs>
        <w:tab w:val="right" w:pos="8789"/>
      </w:tabs>
    </w:pPr>
  </w:style>
  <w:style w:type="paragraph" w:customStyle="1" w:styleId="WWBodyText">
    <w:name w:val="WW_BodyText"/>
    <w:basedOn w:val="Normal"/>
    <w:rsid w:val="0054653D"/>
    <w:pPr>
      <w:spacing w:after="240" w:line="360" w:lineRule="auto"/>
      <w:jc w:val="both"/>
    </w:pPr>
  </w:style>
  <w:style w:type="paragraph" w:customStyle="1" w:styleId="WWAddressee">
    <w:name w:val="WW_Addressee"/>
    <w:basedOn w:val="Normal"/>
    <w:next w:val="WWBodyText"/>
    <w:rsid w:val="007F6C50"/>
    <w:pPr>
      <w:suppressAutoHyphens w:val="0"/>
      <w:spacing w:before="480" w:after="480"/>
      <w:contextualSpacing/>
    </w:pPr>
    <w:rPr>
      <w:lang w:eastAsia="en-US"/>
    </w:rPr>
  </w:style>
  <w:style w:type="paragraph" w:customStyle="1" w:styleId="WWBox">
    <w:name w:val="WW_Box"/>
    <w:basedOn w:val="Normal"/>
    <w:next w:val="Normal"/>
    <w:rsid w:val="007D0C92"/>
    <w:pPr>
      <w:suppressAutoHyphens w:val="0"/>
      <w:spacing w:before="60" w:after="60"/>
    </w:pPr>
    <w:rPr>
      <w:sz w:val="20"/>
      <w:lang w:eastAsia="en-US"/>
    </w:rPr>
  </w:style>
  <w:style w:type="paragraph" w:customStyle="1" w:styleId="WWEnding">
    <w:name w:val="WW_Ending"/>
    <w:basedOn w:val="Normal"/>
    <w:next w:val="Normal"/>
    <w:rsid w:val="009D55EA"/>
    <w:pPr>
      <w:keepNext/>
      <w:suppressAutoHyphens w:val="0"/>
      <w:spacing w:before="360" w:after="720"/>
      <w:jc w:val="both"/>
    </w:pPr>
    <w:rPr>
      <w:bCs/>
      <w:szCs w:val="20"/>
      <w:lang w:eastAsia="en-US"/>
    </w:rPr>
  </w:style>
  <w:style w:type="paragraph" w:customStyle="1" w:styleId="WWSalutation">
    <w:name w:val="WW_Salutation"/>
    <w:basedOn w:val="Normal"/>
    <w:next w:val="Normal"/>
    <w:rsid w:val="007F6C50"/>
    <w:pPr>
      <w:suppressAutoHyphens w:val="0"/>
      <w:spacing w:before="480"/>
      <w:jc w:val="both"/>
    </w:pPr>
    <w:rPr>
      <w:lang w:eastAsia="en-US"/>
    </w:rPr>
  </w:style>
  <w:style w:type="paragraph" w:customStyle="1" w:styleId="WWSubject">
    <w:name w:val="WW_Subject"/>
    <w:basedOn w:val="Normal"/>
    <w:next w:val="Normal"/>
    <w:rsid w:val="009D55EA"/>
    <w:pPr>
      <w:keepNext/>
      <w:suppressAutoHyphens w:val="0"/>
      <w:spacing w:before="480" w:after="480"/>
      <w:jc w:val="both"/>
    </w:pPr>
    <w:rPr>
      <w:rFonts w:ascii="Arial Bold" w:hAnsi="Arial Bold"/>
      <w:b/>
      <w:lang w:val="en-US" w:eastAsia="en-US"/>
    </w:rPr>
  </w:style>
  <w:style w:type="paragraph" w:customStyle="1" w:styleId="WWTitleLeft">
    <w:name w:val="WW_TitleLeft"/>
    <w:basedOn w:val="WWTitleCentre"/>
    <w:next w:val="WWBodyText"/>
    <w:rsid w:val="00C81E89"/>
    <w:pPr>
      <w:jc w:val="left"/>
    </w:pPr>
  </w:style>
  <w:style w:type="paragraph" w:customStyle="1" w:styleId="WWBullet1">
    <w:name w:val="WW_Bullet1"/>
    <w:basedOn w:val="WWBodyText"/>
    <w:rsid w:val="00093CD8"/>
    <w:pPr>
      <w:numPr>
        <w:numId w:val="2"/>
      </w:numPr>
      <w:outlineLvl w:val="0"/>
    </w:pPr>
  </w:style>
  <w:style w:type="paragraph" w:customStyle="1" w:styleId="WWBullet2">
    <w:name w:val="WW_Bullet2"/>
    <w:basedOn w:val="WWBodyText"/>
    <w:rsid w:val="00093CD8"/>
    <w:pPr>
      <w:numPr>
        <w:ilvl w:val="1"/>
        <w:numId w:val="2"/>
      </w:numPr>
      <w:outlineLvl w:val="1"/>
    </w:pPr>
  </w:style>
  <w:style w:type="paragraph" w:customStyle="1" w:styleId="WWBullet3">
    <w:name w:val="WW_Bullet3"/>
    <w:basedOn w:val="WWBodyText"/>
    <w:rsid w:val="00093CD8"/>
    <w:pPr>
      <w:numPr>
        <w:ilvl w:val="2"/>
        <w:numId w:val="2"/>
      </w:numPr>
      <w:outlineLvl w:val="2"/>
    </w:pPr>
  </w:style>
  <w:style w:type="paragraph" w:customStyle="1" w:styleId="WWBullet4">
    <w:name w:val="WW_Bullet4"/>
    <w:basedOn w:val="WWBodyText"/>
    <w:rsid w:val="00093CD8"/>
    <w:pPr>
      <w:numPr>
        <w:ilvl w:val="3"/>
        <w:numId w:val="2"/>
      </w:numPr>
      <w:outlineLvl w:val="3"/>
    </w:pPr>
  </w:style>
  <w:style w:type="paragraph" w:customStyle="1" w:styleId="WWBullet5">
    <w:name w:val="WW_Bullet5"/>
    <w:basedOn w:val="WWBodyText"/>
    <w:rsid w:val="00093CD8"/>
    <w:pPr>
      <w:numPr>
        <w:ilvl w:val="4"/>
        <w:numId w:val="2"/>
      </w:numPr>
      <w:outlineLvl w:val="4"/>
    </w:pPr>
  </w:style>
  <w:style w:type="paragraph" w:customStyle="1" w:styleId="WWBullet6">
    <w:name w:val="WW_Bullet6"/>
    <w:basedOn w:val="WWBodyText"/>
    <w:rsid w:val="00093CD8"/>
    <w:pPr>
      <w:numPr>
        <w:ilvl w:val="5"/>
        <w:numId w:val="2"/>
      </w:numPr>
    </w:pPr>
  </w:style>
  <w:style w:type="paragraph" w:customStyle="1" w:styleId="WWTitleRight">
    <w:name w:val="WW_TitleRight"/>
    <w:basedOn w:val="WWTitleCentre"/>
    <w:next w:val="WWBodyText"/>
    <w:rsid w:val="00C81E89"/>
    <w:pPr>
      <w:jc w:val="right"/>
    </w:pPr>
  </w:style>
  <w:style w:type="paragraph" w:styleId="ListBullet">
    <w:name w:val="List Bullet"/>
    <w:basedOn w:val="Normal"/>
    <w:semiHidden/>
    <w:rsid w:val="003D6EB9"/>
    <w:pPr>
      <w:numPr>
        <w:numId w:val="3"/>
      </w:numPr>
    </w:pPr>
  </w:style>
  <w:style w:type="paragraph" w:customStyle="1" w:styleId="WWAnnexList1">
    <w:name w:val="WW_AnnexList1"/>
    <w:basedOn w:val="WWAnnexHead1"/>
    <w:next w:val="WWBodyText"/>
    <w:rsid w:val="00D2566E"/>
    <w:pPr>
      <w:keepNext w:val="0"/>
      <w:spacing w:before="0"/>
    </w:pPr>
    <w:rPr>
      <w:b w:val="0"/>
    </w:rPr>
  </w:style>
  <w:style w:type="paragraph" w:customStyle="1" w:styleId="WWAnnexList2">
    <w:name w:val="WW_AnnexList2"/>
    <w:basedOn w:val="WWAnnexHead2"/>
    <w:rsid w:val="00A103FA"/>
    <w:pPr>
      <w:keepNext w:val="0"/>
    </w:pPr>
    <w:rPr>
      <w:b w:val="0"/>
    </w:rPr>
  </w:style>
  <w:style w:type="paragraph" w:customStyle="1" w:styleId="WWAnnexList3">
    <w:name w:val="WW_AnnexList3"/>
    <w:basedOn w:val="WWAnnexHead3"/>
    <w:rsid w:val="00A103FA"/>
    <w:pPr>
      <w:keepNext w:val="0"/>
    </w:pPr>
    <w:rPr>
      <w:b w:val="0"/>
    </w:rPr>
  </w:style>
  <w:style w:type="paragraph" w:customStyle="1" w:styleId="WWAnnexList4">
    <w:name w:val="WW_AnnexList4"/>
    <w:basedOn w:val="WWAnnexHead4"/>
    <w:rsid w:val="00A103FA"/>
    <w:pPr>
      <w:keepNext w:val="0"/>
    </w:pPr>
    <w:rPr>
      <w:b w:val="0"/>
    </w:rPr>
  </w:style>
  <w:style w:type="paragraph" w:customStyle="1" w:styleId="WWAnnexList5">
    <w:name w:val="WW_AnnexList5"/>
    <w:basedOn w:val="WWAnnexHead5"/>
    <w:rsid w:val="00A103FA"/>
    <w:pPr>
      <w:keepNext w:val="0"/>
    </w:pPr>
    <w:rPr>
      <w:b w:val="0"/>
    </w:rPr>
  </w:style>
  <w:style w:type="paragraph" w:customStyle="1" w:styleId="WWRecital2">
    <w:name w:val="WW_Recital2"/>
    <w:basedOn w:val="WWBodyText"/>
    <w:rsid w:val="003626FC"/>
    <w:pPr>
      <w:numPr>
        <w:ilvl w:val="1"/>
        <w:numId w:val="4"/>
      </w:numPr>
      <w:outlineLvl w:val="1"/>
    </w:pPr>
  </w:style>
  <w:style w:type="paragraph" w:customStyle="1" w:styleId="WWRecital3">
    <w:name w:val="WW_Recital3"/>
    <w:basedOn w:val="WWBodyText"/>
    <w:rsid w:val="003626FC"/>
    <w:pPr>
      <w:numPr>
        <w:ilvl w:val="2"/>
        <w:numId w:val="4"/>
      </w:numPr>
      <w:outlineLvl w:val="2"/>
    </w:pPr>
  </w:style>
  <w:style w:type="paragraph" w:customStyle="1" w:styleId="WWRecital4">
    <w:name w:val="WW_Recital4"/>
    <w:basedOn w:val="WWBodyText"/>
    <w:rsid w:val="003626FC"/>
    <w:pPr>
      <w:numPr>
        <w:ilvl w:val="3"/>
        <w:numId w:val="4"/>
      </w:numPr>
      <w:outlineLvl w:val="3"/>
    </w:pPr>
  </w:style>
  <w:style w:type="paragraph" w:customStyle="1" w:styleId="WWRecital5">
    <w:name w:val="WW_Recital5"/>
    <w:basedOn w:val="WWBodyText"/>
    <w:rsid w:val="003626FC"/>
    <w:pPr>
      <w:numPr>
        <w:ilvl w:val="4"/>
        <w:numId w:val="4"/>
      </w:numPr>
      <w:outlineLvl w:val="4"/>
    </w:pPr>
  </w:style>
  <w:style w:type="paragraph" w:customStyle="1" w:styleId="WWRecital6">
    <w:name w:val="WW_Recital6"/>
    <w:basedOn w:val="WWBodyText"/>
    <w:rsid w:val="003626FC"/>
    <w:pPr>
      <w:numPr>
        <w:ilvl w:val="5"/>
        <w:numId w:val="4"/>
      </w:numPr>
      <w:outlineLvl w:val="5"/>
    </w:pPr>
  </w:style>
  <w:style w:type="paragraph" w:customStyle="1" w:styleId="WWHeading6">
    <w:name w:val="WW_Heading6"/>
    <w:basedOn w:val="WWHead"/>
    <w:next w:val="WWBodyText6"/>
    <w:rsid w:val="008F0028"/>
    <w:pPr>
      <w:numPr>
        <w:ilvl w:val="5"/>
        <w:numId w:val="5"/>
      </w:numPr>
      <w:outlineLvl w:val="5"/>
    </w:pPr>
  </w:style>
  <w:style w:type="paragraph" w:customStyle="1" w:styleId="WWList6">
    <w:name w:val="WW_List6"/>
    <w:basedOn w:val="WWHeading6"/>
    <w:rsid w:val="00A86E32"/>
    <w:pPr>
      <w:keepNext w:val="0"/>
    </w:pPr>
    <w:rPr>
      <w:b w:val="0"/>
    </w:rPr>
  </w:style>
  <w:style w:type="paragraph" w:customStyle="1" w:styleId="WWAnnexHead6">
    <w:name w:val="WW_AnnexHead6"/>
    <w:basedOn w:val="WWHead"/>
    <w:next w:val="WWBodyText6"/>
    <w:rsid w:val="008F0028"/>
    <w:pPr>
      <w:numPr>
        <w:ilvl w:val="5"/>
        <w:numId w:val="6"/>
      </w:numPr>
      <w:outlineLvl w:val="5"/>
    </w:pPr>
  </w:style>
  <w:style w:type="paragraph" w:customStyle="1" w:styleId="WWAnnexList6">
    <w:name w:val="WW_AnnexList6"/>
    <w:basedOn w:val="WWAnnexHead6"/>
    <w:next w:val="WWBodyText6"/>
    <w:rsid w:val="007559FD"/>
    <w:pPr>
      <w:keepNext w:val="0"/>
    </w:pPr>
    <w:rPr>
      <w:b w:val="0"/>
    </w:rPr>
  </w:style>
  <w:style w:type="paragraph" w:customStyle="1" w:styleId="WWAppendNum">
    <w:name w:val="WW_AppendNum"/>
    <w:basedOn w:val="WWBodyText"/>
    <w:next w:val="WWBodyText"/>
    <w:rsid w:val="00974B27"/>
    <w:pPr>
      <w:keepNext/>
      <w:jc w:val="right"/>
    </w:pPr>
    <w:rPr>
      <w:b/>
    </w:rPr>
  </w:style>
  <w:style w:type="paragraph" w:customStyle="1" w:styleId="WWHead">
    <w:name w:val="WW_Head"/>
    <w:basedOn w:val="WWBodyText"/>
    <w:rsid w:val="008F0028"/>
    <w:pPr>
      <w:keepNext/>
    </w:pPr>
    <w:rPr>
      <w:b/>
    </w:rPr>
  </w:style>
  <w:style w:type="paragraph" w:customStyle="1" w:styleId="WWSimpleList1">
    <w:name w:val="WW_SimpleList1"/>
    <w:basedOn w:val="WWBodyText"/>
    <w:rsid w:val="008E2E72"/>
    <w:pPr>
      <w:numPr>
        <w:numId w:val="7"/>
      </w:numPr>
      <w:outlineLvl w:val="0"/>
    </w:pPr>
  </w:style>
  <w:style w:type="paragraph" w:customStyle="1" w:styleId="WWSimpleList2">
    <w:name w:val="WW_SimpleList2"/>
    <w:basedOn w:val="WWBodyText"/>
    <w:rsid w:val="008E2E72"/>
    <w:pPr>
      <w:numPr>
        <w:ilvl w:val="1"/>
        <w:numId w:val="7"/>
      </w:numPr>
      <w:outlineLvl w:val="1"/>
    </w:pPr>
  </w:style>
  <w:style w:type="paragraph" w:customStyle="1" w:styleId="WWSimpleList3">
    <w:name w:val="WW_SimpleList3"/>
    <w:basedOn w:val="WWBodyText"/>
    <w:rsid w:val="008E2E72"/>
    <w:pPr>
      <w:numPr>
        <w:ilvl w:val="2"/>
        <w:numId w:val="7"/>
      </w:numPr>
      <w:outlineLvl w:val="2"/>
    </w:pPr>
  </w:style>
  <w:style w:type="paragraph" w:customStyle="1" w:styleId="WWSimpleList4">
    <w:name w:val="WW_SimpleList4"/>
    <w:basedOn w:val="WWBodyText"/>
    <w:rsid w:val="008E2E72"/>
    <w:pPr>
      <w:numPr>
        <w:ilvl w:val="3"/>
        <w:numId w:val="7"/>
      </w:numPr>
      <w:outlineLvl w:val="3"/>
    </w:pPr>
  </w:style>
  <w:style w:type="paragraph" w:customStyle="1" w:styleId="WWSimpleList5">
    <w:name w:val="WW_SimpleList5"/>
    <w:basedOn w:val="WWBodyText"/>
    <w:rsid w:val="008E2E72"/>
    <w:pPr>
      <w:numPr>
        <w:ilvl w:val="4"/>
        <w:numId w:val="7"/>
      </w:numPr>
      <w:outlineLvl w:val="4"/>
    </w:pPr>
  </w:style>
  <w:style w:type="paragraph" w:customStyle="1" w:styleId="WWSimpleList6">
    <w:name w:val="WW_SimpleList6"/>
    <w:basedOn w:val="WWBodyText"/>
    <w:rsid w:val="008E2E72"/>
    <w:pPr>
      <w:numPr>
        <w:ilvl w:val="5"/>
        <w:numId w:val="7"/>
      </w:numPr>
      <w:outlineLvl w:val="5"/>
    </w:pPr>
  </w:style>
  <w:style w:type="paragraph" w:customStyle="1" w:styleId="WWTOCHead">
    <w:name w:val="WW_TOCHead"/>
    <w:basedOn w:val="WWTitleCentre"/>
    <w:next w:val="WWBodyText"/>
    <w:rsid w:val="00C0039D"/>
    <w:rPr>
      <w:caps/>
    </w:rPr>
  </w:style>
  <w:style w:type="paragraph" w:customStyle="1" w:styleId="WWAnnexeHead">
    <w:name w:val="WW_AnnexeHead"/>
    <w:basedOn w:val="WWBodyText"/>
    <w:rsid w:val="001D40C0"/>
    <w:pPr>
      <w:keepNext/>
      <w:jc w:val="center"/>
    </w:pPr>
    <w:rPr>
      <w:b/>
    </w:rPr>
  </w:style>
  <w:style w:type="paragraph" w:customStyle="1" w:styleId="WWAnnexeAlpha">
    <w:name w:val="WW_AnnexeAlpha"/>
    <w:basedOn w:val="WWAnnexeHead"/>
    <w:next w:val="WWAnnexeHead"/>
    <w:rsid w:val="00C12C69"/>
    <w:pPr>
      <w:numPr>
        <w:numId w:val="17"/>
      </w:numPr>
      <w:jc w:val="right"/>
      <w:outlineLvl w:val="0"/>
    </w:pPr>
  </w:style>
  <w:style w:type="paragraph" w:customStyle="1" w:styleId="WWInfo">
    <w:name w:val="WW_Info"/>
    <w:basedOn w:val="Normal"/>
    <w:next w:val="Normal"/>
    <w:qFormat/>
    <w:rsid w:val="007D0C92"/>
    <w:pPr>
      <w:spacing w:before="240" w:after="240"/>
      <w:jc w:val="both"/>
    </w:pPr>
    <w:rPr>
      <w:rFonts w:ascii="Arial Bold" w:hAnsi="Arial Bold"/>
      <w:b/>
    </w:rPr>
  </w:style>
  <w:style w:type="paragraph" w:styleId="TOC9">
    <w:name w:val="toc 9"/>
    <w:basedOn w:val="Normal"/>
    <w:next w:val="Normal"/>
    <w:autoRedefine/>
    <w:unhideWhenUsed/>
    <w:rsid w:val="00441C83"/>
    <w:pPr>
      <w:tabs>
        <w:tab w:val="right" w:leader="dot" w:pos="7314"/>
      </w:tabs>
    </w:pPr>
  </w:style>
  <w:style w:type="paragraph" w:customStyle="1" w:styleId="WWFirmEnding">
    <w:name w:val="WW_FirmEnding"/>
    <w:basedOn w:val="Normal"/>
    <w:next w:val="WWAuthorDetails"/>
    <w:qFormat/>
    <w:rsid w:val="009D55EA"/>
    <w:pPr>
      <w:keepNext/>
      <w:spacing w:after="60"/>
      <w:jc w:val="both"/>
    </w:pPr>
    <w:rPr>
      <w:rFonts w:ascii="Arial Bold" w:hAnsi="Arial Bold"/>
      <w:b/>
    </w:rPr>
  </w:style>
  <w:style w:type="paragraph" w:customStyle="1" w:styleId="WWAuthorDetails">
    <w:name w:val="WW_AuthorDetails"/>
    <w:basedOn w:val="WWFirmEnding"/>
    <w:qFormat/>
    <w:rsid w:val="009D55EA"/>
    <w:rPr>
      <w:rFonts w:ascii="Arial" w:hAnsi="Arial" w:cs="Arial"/>
      <w:b w:val="0"/>
      <w:sz w:val="17"/>
      <w:szCs w:val="12"/>
    </w:rPr>
  </w:style>
  <w:style w:type="paragraph" w:styleId="Subtitle">
    <w:name w:val="Subtitle"/>
    <w:basedOn w:val="Normal"/>
    <w:next w:val="Normal"/>
    <w:link w:val="SubtitleChar"/>
    <w:uiPriority w:val="11"/>
    <w:qFormat/>
    <w:rsid w:val="00A330CC"/>
    <w:pPr>
      <w:numPr>
        <w:ilvl w:val="1"/>
      </w:numPr>
      <w:suppressAutoHyphens w:val="0"/>
      <w:spacing w:after="200" w:line="276" w:lineRule="auto"/>
    </w:pPr>
    <w:rPr>
      <w:rFonts w:ascii="Cambria" w:hAnsi="Cambria"/>
      <w:i/>
      <w:iCs/>
      <w:color w:val="4F81BD"/>
      <w:spacing w:val="15"/>
      <w:sz w:val="24"/>
      <w:lang w:val="en-ZA" w:eastAsia="en-US"/>
    </w:rPr>
  </w:style>
  <w:style w:type="character" w:customStyle="1" w:styleId="SubtitleChar">
    <w:name w:val="Subtitle Char"/>
    <w:link w:val="Subtitle"/>
    <w:uiPriority w:val="11"/>
    <w:rsid w:val="00A330CC"/>
    <w:rPr>
      <w:rFonts w:ascii="Cambria" w:hAnsi="Cambria"/>
      <w:i/>
      <w:iCs/>
      <w:color w:val="4F81BD"/>
      <w:spacing w:val="15"/>
      <w:sz w:val="24"/>
      <w:szCs w:val="24"/>
      <w:lang w:val="en-ZA" w:eastAsia="en-US"/>
    </w:rPr>
  </w:style>
  <w:style w:type="character" w:styleId="SubtleEmphasis">
    <w:name w:val="Subtle Emphasis"/>
    <w:uiPriority w:val="19"/>
    <w:qFormat/>
    <w:rsid w:val="00A330CC"/>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527552">
      <w:bodyDiv w:val="1"/>
      <w:marLeft w:val="0"/>
      <w:marRight w:val="0"/>
      <w:marTop w:val="0"/>
      <w:marBottom w:val="0"/>
      <w:divBdr>
        <w:top w:val="none" w:sz="0" w:space="0" w:color="auto"/>
        <w:left w:val="none" w:sz="0" w:space="0" w:color="auto"/>
        <w:bottom w:val="none" w:sz="0" w:space="0" w:color="auto"/>
        <w:right w:val="none" w:sz="0" w:space="0" w:color="auto"/>
      </w:divBdr>
      <w:divsChild>
        <w:div w:id="974064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1231E-DF53-43A6-A8D7-65864045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LegalMaster.dot</Template>
  <TotalTime>1</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LegalMaster.dot</vt:lpstr>
    </vt:vector>
  </TitlesOfParts>
  <Manager/>
  <Company>Navigate IT</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LegalMaster.dot</dc:title>
  <dc:subject/>
  <dc:creator>Webber Wentzel [Financial Regulatory]</dc:creator>
  <cp:keywords>LegalStyles</cp:keywords>
  <cp:lastModifiedBy>Paul Kruger</cp:lastModifiedBy>
  <cp:revision>2</cp:revision>
  <dcterms:created xsi:type="dcterms:W3CDTF">2021-06-28T09:11:00Z</dcterms:created>
  <dcterms:modified xsi:type="dcterms:W3CDTF">2021-06-28T09:11:00Z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LegalStyles</vt:lpwstr>
  </property>
</Properties>
</file>