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807F7" w14:textId="77777777" w:rsidR="004B6D63" w:rsidRPr="004B6D63" w:rsidRDefault="004B6D63" w:rsidP="004B6D63">
      <w:pPr>
        <w:spacing w:before="100" w:beforeAutospacing="1" w:after="100" w:afterAutospacing="1" w:line="540" w:lineRule="atLeast"/>
        <w:jc w:val="center"/>
        <w:outlineLvl w:val="0"/>
        <w:rPr>
          <w:rFonts w:ascii="Century Gothic" w:eastAsia="Times New Roman" w:hAnsi="Century Gothic" w:cs="Times New Roman"/>
          <w:b/>
          <w:bCs/>
          <w:color w:val="ED7D31" w:themeColor="accent2"/>
          <w:kern w:val="36"/>
          <w:sz w:val="24"/>
          <w:szCs w:val="24"/>
          <w:shd w:val="clear" w:color="auto" w:fill="FFFFFF"/>
          <w:lang w:eastAsia="en-ZA"/>
        </w:rPr>
      </w:pPr>
      <w:r w:rsidRPr="004B6D63">
        <w:rPr>
          <w:rFonts w:ascii="Century Gothic" w:eastAsia="Times New Roman" w:hAnsi="Century Gothic" w:cs="Times New Roman"/>
          <w:b/>
          <w:bCs/>
          <w:color w:val="ED7D31" w:themeColor="accent2"/>
          <w:kern w:val="36"/>
          <w:sz w:val="24"/>
          <w:szCs w:val="24"/>
          <w:shd w:val="clear" w:color="auto" w:fill="FFFFFF"/>
          <w:lang w:eastAsia="en-ZA"/>
        </w:rPr>
        <w:t>Clarity on POPIA exemptions and information officer registration</w:t>
      </w:r>
    </w:p>
    <w:p w14:paraId="2F8652EB" w14:textId="3549710E" w:rsidR="004B6D63" w:rsidRPr="004B6D63" w:rsidRDefault="004B6D63" w:rsidP="004B6D63">
      <w:pPr>
        <w:spacing w:after="0" w:line="240" w:lineRule="auto"/>
        <w:jc w:val="center"/>
        <w:rPr>
          <w:rFonts w:ascii="Century Gothic" w:eastAsia="Times New Roman" w:hAnsi="Century Gothic" w:cs="Times New Roman"/>
          <w:sz w:val="20"/>
          <w:szCs w:val="20"/>
          <w:shd w:val="clear" w:color="auto" w:fill="FFFFFF"/>
          <w:lang w:eastAsia="en-ZA"/>
        </w:rPr>
      </w:pPr>
      <w:r w:rsidRPr="004B6D63">
        <w:rPr>
          <w:rFonts w:ascii="Century Gothic" w:eastAsia="Times New Roman" w:hAnsi="Century Gothic" w:cs="Times New Roman"/>
          <w:sz w:val="20"/>
          <w:szCs w:val="20"/>
          <w:shd w:val="clear" w:color="auto" w:fill="FFFFFF"/>
          <w:lang w:eastAsia="en-ZA"/>
        </w:rPr>
        <w:t>by </w:t>
      </w:r>
      <w:hyperlink r:id="rId5" w:history="1">
        <w:r w:rsidRPr="004B6D63">
          <w:rPr>
            <w:rFonts w:ascii="Century Gothic" w:eastAsia="Times New Roman" w:hAnsi="Century Gothic" w:cs="Times New Roman"/>
            <w:sz w:val="20"/>
            <w:szCs w:val="20"/>
            <w:lang w:eastAsia="en-ZA"/>
          </w:rPr>
          <w:t>Peter Grealy</w:t>
        </w:r>
      </w:hyperlink>
      <w:r>
        <w:rPr>
          <w:rFonts w:ascii="Century Gothic" w:eastAsia="Times New Roman" w:hAnsi="Century Gothic" w:cs="Times New Roman"/>
          <w:sz w:val="20"/>
          <w:szCs w:val="20"/>
          <w:shd w:val="clear" w:color="auto" w:fill="FFFFFF"/>
          <w:lang w:eastAsia="en-ZA"/>
        </w:rPr>
        <w:t xml:space="preserve"> &amp;</w:t>
      </w:r>
      <w:r w:rsidRPr="004B6D63">
        <w:rPr>
          <w:rFonts w:ascii="Century Gothic" w:eastAsia="Times New Roman" w:hAnsi="Century Gothic" w:cs="Times New Roman"/>
          <w:sz w:val="20"/>
          <w:szCs w:val="20"/>
          <w:shd w:val="clear" w:color="auto" w:fill="FFFFFF"/>
          <w:lang w:eastAsia="en-ZA"/>
        </w:rPr>
        <w:t>, </w:t>
      </w:r>
      <w:hyperlink r:id="rId6" w:history="1">
        <w:r w:rsidRPr="004B6D63">
          <w:rPr>
            <w:rFonts w:ascii="Century Gothic" w:eastAsia="Times New Roman" w:hAnsi="Century Gothic" w:cs="Times New Roman"/>
            <w:sz w:val="20"/>
            <w:szCs w:val="20"/>
            <w:lang w:eastAsia="en-ZA"/>
          </w:rPr>
          <w:t>Dario Milo</w:t>
        </w:r>
      </w:hyperlink>
      <w:r>
        <w:rPr>
          <w:rFonts w:ascii="Century Gothic" w:eastAsia="Times New Roman" w:hAnsi="Century Gothic" w:cs="Times New Roman"/>
          <w:sz w:val="20"/>
          <w:szCs w:val="20"/>
          <w:shd w:val="clear" w:color="auto" w:fill="FFFFFF"/>
          <w:lang w:eastAsia="en-ZA"/>
        </w:rPr>
        <w:t xml:space="preserve"> from Webber Wentzel</w:t>
      </w:r>
    </w:p>
    <w:p w14:paraId="6863B73E" w14:textId="77777777" w:rsidR="004B6D63" w:rsidRDefault="004B6D63" w:rsidP="004B6D63">
      <w:pPr>
        <w:shd w:val="clear" w:color="auto" w:fill="FFFFFF"/>
        <w:spacing w:after="150" w:line="330" w:lineRule="atLeast"/>
        <w:jc w:val="both"/>
        <w:rPr>
          <w:rFonts w:ascii="Century Gothic" w:eastAsia="Times New Roman" w:hAnsi="Century Gothic" w:cs="Times New Roman"/>
          <w:sz w:val="20"/>
          <w:szCs w:val="20"/>
          <w:shd w:val="clear" w:color="auto" w:fill="FFFFFF"/>
          <w:lang w:eastAsia="en-ZA"/>
        </w:rPr>
      </w:pPr>
    </w:p>
    <w:p w14:paraId="4300E71B" w14:textId="1D9B42F0" w:rsidR="004B6D63" w:rsidRPr="004B6D63" w:rsidRDefault="004B6D63" w:rsidP="004B6D63">
      <w:pPr>
        <w:shd w:val="clear" w:color="auto" w:fill="FFFFFF"/>
        <w:spacing w:after="150" w:line="330" w:lineRule="atLeast"/>
        <w:jc w:val="center"/>
        <w:rPr>
          <w:rFonts w:ascii="Century Gothic" w:eastAsia="Times New Roman" w:hAnsi="Century Gothic" w:cs="Times New Roman"/>
          <w:sz w:val="20"/>
          <w:szCs w:val="20"/>
          <w:lang w:eastAsia="en-ZA"/>
        </w:rPr>
      </w:pPr>
      <w:r w:rsidRPr="004B6D63">
        <w:rPr>
          <w:rFonts w:ascii="Arial" w:eastAsia="Times New Roman" w:hAnsi="Arial" w:cs="Arial"/>
          <w:i/>
          <w:iCs/>
          <w:sz w:val="20"/>
          <w:szCs w:val="20"/>
          <w:lang w:eastAsia="en-ZA"/>
        </w:rPr>
        <w:t>​</w:t>
      </w:r>
      <w:r w:rsidRPr="004B6D63">
        <w:rPr>
          <w:rFonts w:ascii="Century Gothic" w:eastAsia="Times New Roman" w:hAnsi="Century Gothic" w:cs="Times New Roman"/>
          <w:i/>
          <w:iCs/>
          <w:sz w:val="20"/>
          <w:szCs w:val="20"/>
          <w:lang w:eastAsia="en-ZA"/>
        </w:rPr>
        <w:t>The Information Regulator has published guidance for organisations on applying for exemptions from POPIA and appointing information officers, ahead of the 30 June 2021 deadline for compliance</w:t>
      </w:r>
    </w:p>
    <w:p w14:paraId="14AECBDB" w14:textId="77777777" w:rsidR="004B6D63" w:rsidRPr="004B6D63" w:rsidRDefault="004B6D63" w:rsidP="004B6D63">
      <w:pPr>
        <w:shd w:val="clear" w:color="auto" w:fill="FFFFFF"/>
        <w:spacing w:after="150" w:line="330" w:lineRule="atLeast"/>
        <w:jc w:val="both"/>
        <w:rPr>
          <w:rFonts w:ascii="Century Gothic" w:eastAsia="Times New Roman" w:hAnsi="Century Gothic" w:cs="Times New Roman"/>
          <w:sz w:val="20"/>
          <w:szCs w:val="20"/>
          <w:lang w:eastAsia="en-ZA"/>
        </w:rPr>
      </w:pPr>
      <w:r w:rsidRPr="004B6D63">
        <w:rPr>
          <w:rFonts w:ascii="Century Gothic" w:eastAsia="Times New Roman" w:hAnsi="Century Gothic" w:cs="Times New Roman"/>
          <w:sz w:val="20"/>
          <w:szCs w:val="20"/>
          <w:lang w:eastAsia="en-ZA"/>
        </w:rPr>
        <w:t>In the penultimate week before the Protection of Personal Information Act, 2013 (POPIA) comes into full force and effect, the Information Regulator has published some important documents. We have unpacked some of the key aspects communicated by the Information Regulator.</w:t>
      </w:r>
    </w:p>
    <w:p w14:paraId="10CF4A42" w14:textId="77777777" w:rsidR="004B6D63" w:rsidRPr="004B6D63" w:rsidRDefault="004B6D63" w:rsidP="004B6D63">
      <w:pPr>
        <w:shd w:val="clear" w:color="auto" w:fill="FFFFFF"/>
        <w:spacing w:before="100" w:beforeAutospacing="1" w:after="100" w:afterAutospacing="1" w:line="240" w:lineRule="auto"/>
        <w:outlineLvl w:val="2"/>
        <w:rPr>
          <w:rFonts w:ascii="Century Gothic" w:eastAsia="Times New Roman" w:hAnsi="Century Gothic" w:cs="Times New Roman"/>
          <w:sz w:val="20"/>
          <w:szCs w:val="20"/>
          <w:lang w:eastAsia="en-ZA"/>
        </w:rPr>
      </w:pPr>
      <w:r w:rsidRPr="004B6D63">
        <w:rPr>
          <w:rFonts w:ascii="Century Gothic" w:eastAsia="Times New Roman" w:hAnsi="Century Gothic" w:cs="Times New Roman"/>
          <w:sz w:val="20"/>
          <w:szCs w:val="20"/>
          <w:lang w:eastAsia="en-ZA"/>
        </w:rPr>
        <w:t>Exemption from POPIA compliance</w:t>
      </w:r>
    </w:p>
    <w:p w14:paraId="7B607434" w14:textId="77777777" w:rsidR="004B6D63" w:rsidRPr="004B6D63" w:rsidRDefault="004B6D63" w:rsidP="004B6D63">
      <w:pPr>
        <w:shd w:val="clear" w:color="auto" w:fill="FFFFFF"/>
        <w:spacing w:after="100" w:afterAutospacing="1" w:line="330" w:lineRule="atLeast"/>
        <w:jc w:val="both"/>
        <w:rPr>
          <w:rFonts w:ascii="Century Gothic" w:eastAsia="Times New Roman" w:hAnsi="Century Gothic" w:cs="Times New Roman"/>
          <w:b/>
          <w:bCs/>
          <w:sz w:val="20"/>
          <w:szCs w:val="20"/>
          <w:lang w:eastAsia="en-ZA"/>
        </w:rPr>
      </w:pPr>
      <w:r w:rsidRPr="004B6D63">
        <w:rPr>
          <w:rFonts w:ascii="Century Gothic" w:eastAsia="Times New Roman" w:hAnsi="Century Gothic" w:cs="Times New Roman"/>
          <w:b/>
          <w:bCs/>
          <w:sz w:val="20"/>
          <w:szCs w:val="20"/>
          <w:lang w:eastAsia="en-ZA"/>
        </w:rPr>
        <w:t>The Information Regulator has released a Guidance Note to assist an organisation that:</w:t>
      </w:r>
    </w:p>
    <w:p w14:paraId="3E56F1DE" w14:textId="77777777" w:rsidR="004B6D63" w:rsidRPr="004B6D63" w:rsidRDefault="004B6D63" w:rsidP="004B6D63">
      <w:pPr>
        <w:numPr>
          <w:ilvl w:val="0"/>
          <w:numId w:val="1"/>
        </w:numPr>
        <w:shd w:val="clear" w:color="auto" w:fill="FFFFFF"/>
        <w:spacing w:before="100" w:beforeAutospacing="1" w:after="100" w:afterAutospacing="1" w:line="360" w:lineRule="atLeast"/>
        <w:ind w:left="495"/>
        <w:rPr>
          <w:rFonts w:ascii="Century Gothic" w:eastAsia="Times New Roman" w:hAnsi="Century Gothic" w:cs="Times New Roman"/>
          <w:sz w:val="20"/>
          <w:szCs w:val="20"/>
          <w:lang w:eastAsia="en-ZA"/>
        </w:rPr>
      </w:pPr>
      <w:r w:rsidRPr="004B6D63">
        <w:rPr>
          <w:rFonts w:ascii="Century Gothic" w:eastAsia="Times New Roman" w:hAnsi="Century Gothic" w:cs="Times New Roman"/>
          <w:sz w:val="20"/>
          <w:szCs w:val="20"/>
          <w:lang w:eastAsia="en-ZA"/>
        </w:rPr>
        <w:t>wishes to </w:t>
      </w:r>
      <w:r w:rsidRPr="004B6D63">
        <w:rPr>
          <w:rFonts w:ascii="Century Gothic" w:eastAsia="Times New Roman" w:hAnsi="Century Gothic" w:cs="Times New Roman"/>
          <w:sz w:val="20"/>
          <w:szCs w:val="20"/>
          <w:u w:val="single"/>
          <w:lang w:eastAsia="en-ZA"/>
        </w:rPr>
        <w:t>apply</w:t>
      </w:r>
      <w:r w:rsidRPr="004B6D63">
        <w:rPr>
          <w:rFonts w:ascii="Century Gothic" w:eastAsia="Times New Roman" w:hAnsi="Century Gothic" w:cs="Times New Roman"/>
          <w:sz w:val="20"/>
          <w:szCs w:val="20"/>
          <w:lang w:eastAsia="en-ZA"/>
        </w:rPr>
        <w:t xml:space="preserve"> for an exemption from one or more of the 8 conditions for lawful processing of personal </w:t>
      </w:r>
      <w:proofErr w:type="gramStart"/>
      <w:r w:rsidRPr="004B6D63">
        <w:rPr>
          <w:rFonts w:ascii="Century Gothic" w:eastAsia="Times New Roman" w:hAnsi="Century Gothic" w:cs="Times New Roman"/>
          <w:sz w:val="20"/>
          <w:szCs w:val="20"/>
          <w:lang w:eastAsia="en-ZA"/>
        </w:rPr>
        <w:t>information;</w:t>
      </w:r>
      <w:proofErr w:type="gramEnd"/>
      <w:r w:rsidRPr="004B6D63">
        <w:rPr>
          <w:rFonts w:ascii="Century Gothic" w:eastAsia="Times New Roman" w:hAnsi="Century Gothic" w:cs="Times New Roman"/>
          <w:sz w:val="20"/>
          <w:szCs w:val="20"/>
          <w:lang w:eastAsia="en-ZA"/>
        </w:rPr>
        <w:t> </w:t>
      </w:r>
      <w:r w:rsidRPr="004B6D63">
        <w:rPr>
          <w:rFonts w:ascii="Century Gothic" w:eastAsia="Times New Roman" w:hAnsi="Century Gothic" w:cs="Times New Roman"/>
          <w:b/>
          <w:bCs/>
          <w:i/>
          <w:iCs/>
          <w:sz w:val="20"/>
          <w:szCs w:val="20"/>
          <w:lang w:eastAsia="en-ZA"/>
        </w:rPr>
        <w:t>or</w:t>
      </w:r>
    </w:p>
    <w:p w14:paraId="2889989B" w14:textId="77777777" w:rsidR="004B6D63" w:rsidRPr="004B6D63" w:rsidRDefault="004B6D63" w:rsidP="004B6D63">
      <w:pPr>
        <w:numPr>
          <w:ilvl w:val="0"/>
          <w:numId w:val="1"/>
        </w:numPr>
        <w:shd w:val="clear" w:color="auto" w:fill="FFFFFF"/>
        <w:spacing w:before="100" w:beforeAutospacing="1" w:after="100" w:afterAutospacing="1" w:line="360" w:lineRule="atLeast"/>
        <w:ind w:left="495"/>
        <w:rPr>
          <w:rFonts w:ascii="Century Gothic" w:eastAsia="Times New Roman" w:hAnsi="Century Gothic" w:cs="Times New Roman"/>
          <w:sz w:val="20"/>
          <w:szCs w:val="20"/>
          <w:lang w:eastAsia="en-ZA"/>
        </w:rPr>
      </w:pPr>
      <w:r w:rsidRPr="004B6D63">
        <w:rPr>
          <w:rFonts w:ascii="Century Gothic" w:eastAsia="Times New Roman" w:hAnsi="Century Gothic" w:cs="Times New Roman"/>
          <w:sz w:val="20"/>
          <w:szCs w:val="20"/>
          <w:lang w:eastAsia="en-ZA"/>
        </w:rPr>
        <w:t>by virtue of the function performed by it, is </w:t>
      </w:r>
      <w:r w:rsidRPr="004B6D63">
        <w:rPr>
          <w:rFonts w:ascii="Century Gothic" w:eastAsia="Times New Roman" w:hAnsi="Century Gothic" w:cs="Times New Roman"/>
          <w:sz w:val="20"/>
          <w:szCs w:val="20"/>
          <w:u w:val="single"/>
          <w:lang w:eastAsia="en-ZA"/>
        </w:rPr>
        <w:t>automatically</w:t>
      </w:r>
      <w:r w:rsidRPr="004B6D63">
        <w:rPr>
          <w:rFonts w:ascii="Century Gothic" w:eastAsia="Times New Roman" w:hAnsi="Century Gothic" w:cs="Times New Roman"/>
          <w:sz w:val="20"/>
          <w:szCs w:val="20"/>
          <w:lang w:eastAsia="en-ZA"/>
        </w:rPr>
        <w:t> exempt from some of these conditions.</w:t>
      </w:r>
    </w:p>
    <w:p w14:paraId="41B04CAC" w14:textId="77777777" w:rsidR="004B6D63" w:rsidRPr="004B6D63" w:rsidRDefault="004B6D63" w:rsidP="004B6D63">
      <w:pPr>
        <w:shd w:val="clear" w:color="auto" w:fill="FFFFFF"/>
        <w:spacing w:line="330" w:lineRule="atLeast"/>
        <w:jc w:val="both"/>
        <w:rPr>
          <w:rFonts w:ascii="Century Gothic" w:eastAsia="Times New Roman" w:hAnsi="Century Gothic" w:cs="Times New Roman"/>
          <w:sz w:val="20"/>
          <w:szCs w:val="20"/>
          <w:lang w:eastAsia="en-ZA"/>
        </w:rPr>
      </w:pPr>
      <w:r w:rsidRPr="004B6D63">
        <w:rPr>
          <w:rFonts w:ascii="Century Gothic" w:eastAsia="Times New Roman" w:hAnsi="Century Gothic" w:cs="Times New Roman"/>
          <w:i/>
          <w:iCs/>
          <w:sz w:val="20"/>
          <w:szCs w:val="20"/>
          <w:lang w:eastAsia="en-ZA"/>
        </w:rPr>
        <w:t xml:space="preserve">Note: An exemption does not mean that your organisation is entitled to use personal information freely and without complying with the remainder of POPIA. In either of the above instances, an organisation will only be exempt from complying with some POPIA provisions.  An exemption application which has been approved by the Information Regulator may also have </w:t>
      </w:r>
      <w:proofErr w:type="gramStart"/>
      <w:r w:rsidRPr="004B6D63">
        <w:rPr>
          <w:rFonts w:ascii="Century Gothic" w:eastAsia="Times New Roman" w:hAnsi="Century Gothic" w:cs="Times New Roman"/>
          <w:i/>
          <w:iCs/>
          <w:sz w:val="20"/>
          <w:szCs w:val="20"/>
          <w:lang w:eastAsia="en-ZA"/>
        </w:rPr>
        <w:t>a number of</w:t>
      </w:r>
      <w:proofErr w:type="gramEnd"/>
      <w:r w:rsidRPr="004B6D63">
        <w:rPr>
          <w:rFonts w:ascii="Century Gothic" w:eastAsia="Times New Roman" w:hAnsi="Century Gothic" w:cs="Times New Roman"/>
          <w:i/>
          <w:iCs/>
          <w:sz w:val="20"/>
          <w:szCs w:val="20"/>
          <w:lang w:eastAsia="en-ZA"/>
        </w:rPr>
        <w:t xml:space="preserve"> conditions imposed by the Regulator.</w:t>
      </w:r>
    </w:p>
    <w:tbl>
      <w:tblPr>
        <w:tblW w:w="5000" w:type="pct"/>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1567"/>
        <w:gridCol w:w="3135"/>
        <w:gridCol w:w="3135"/>
        <w:gridCol w:w="2613"/>
      </w:tblGrid>
      <w:tr w:rsidR="004B6D63" w:rsidRPr="004B6D63" w14:paraId="060BA74F" w14:textId="77777777" w:rsidTr="004B6D63">
        <w:tc>
          <w:tcPr>
            <w:tcW w:w="750" w:type="pct"/>
            <w:tcBorders>
              <w:top w:val="outset" w:sz="6" w:space="0" w:color="auto"/>
              <w:left w:val="outset" w:sz="6" w:space="0" w:color="auto"/>
              <w:bottom w:val="outset" w:sz="6" w:space="0" w:color="auto"/>
              <w:right w:val="outset" w:sz="6" w:space="0" w:color="auto"/>
            </w:tcBorders>
            <w:shd w:val="clear" w:color="auto" w:fill="323F48"/>
            <w:tcMar>
              <w:top w:w="225" w:type="dxa"/>
              <w:left w:w="225" w:type="dxa"/>
              <w:bottom w:w="225" w:type="dxa"/>
              <w:right w:w="225" w:type="dxa"/>
            </w:tcMar>
            <w:hideMark/>
          </w:tcPr>
          <w:p w14:paraId="237A3E93" w14:textId="77777777" w:rsidR="004B6D63" w:rsidRPr="004B6D63" w:rsidRDefault="004B6D63" w:rsidP="004B6D63">
            <w:pPr>
              <w:spacing w:after="0" w:line="240" w:lineRule="auto"/>
              <w:jc w:val="center"/>
              <w:rPr>
                <w:rFonts w:ascii="Century Gothic" w:eastAsia="Times New Roman" w:hAnsi="Century Gothic" w:cs="Times New Roman"/>
                <w:sz w:val="20"/>
                <w:szCs w:val="20"/>
                <w:lang w:eastAsia="en-ZA"/>
              </w:rPr>
            </w:pPr>
            <w:r w:rsidRPr="004B6D63">
              <w:rPr>
                <w:rFonts w:ascii="Century Gothic" w:eastAsia="Times New Roman" w:hAnsi="Century Gothic" w:cs="Times New Roman"/>
                <w:sz w:val="20"/>
                <w:szCs w:val="20"/>
                <w:lang w:eastAsia="en-ZA"/>
              </w:rPr>
              <w:t> </w:t>
            </w:r>
          </w:p>
        </w:tc>
        <w:tc>
          <w:tcPr>
            <w:tcW w:w="3000" w:type="pct"/>
            <w:gridSpan w:val="2"/>
            <w:tcBorders>
              <w:top w:val="outset" w:sz="6" w:space="0" w:color="auto"/>
              <w:left w:val="outset" w:sz="6" w:space="0" w:color="auto"/>
              <w:bottom w:val="outset" w:sz="6" w:space="0" w:color="auto"/>
              <w:right w:val="outset" w:sz="6" w:space="0" w:color="auto"/>
            </w:tcBorders>
            <w:shd w:val="clear" w:color="auto" w:fill="323F48"/>
            <w:tcMar>
              <w:top w:w="225" w:type="dxa"/>
              <w:left w:w="225" w:type="dxa"/>
              <w:bottom w:w="225" w:type="dxa"/>
              <w:right w:w="225" w:type="dxa"/>
            </w:tcMar>
            <w:hideMark/>
          </w:tcPr>
          <w:p w14:paraId="23BF49F2" w14:textId="77777777" w:rsidR="004B6D63" w:rsidRPr="004B6D63" w:rsidRDefault="004B6D63" w:rsidP="004B6D63">
            <w:pPr>
              <w:spacing w:after="0" w:line="240" w:lineRule="auto"/>
              <w:jc w:val="center"/>
              <w:rPr>
                <w:rFonts w:ascii="Century Gothic" w:eastAsia="Times New Roman" w:hAnsi="Century Gothic" w:cs="Times New Roman"/>
                <w:sz w:val="20"/>
                <w:szCs w:val="20"/>
                <w:lang w:eastAsia="en-ZA"/>
              </w:rPr>
            </w:pPr>
            <w:r w:rsidRPr="004B6D63">
              <w:rPr>
                <w:rFonts w:ascii="Century Gothic" w:eastAsia="Times New Roman" w:hAnsi="Century Gothic" w:cs="Times New Roman"/>
                <w:b/>
                <w:bCs/>
                <w:sz w:val="20"/>
                <w:szCs w:val="20"/>
                <w:lang w:eastAsia="en-ZA"/>
              </w:rPr>
              <w:t>Application for exemption from compliance with the processing conditions</w:t>
            </w:r>
          </w:p>
        </w:tc>
        <w:tc>
          <w:tcPr>
            <w:tcW w:w="1500" w:type="pct"/>
            <w:tcBorders>
              <w:top w:val="outset" w:sz="6" w:space="0" w:color="auto"/>
              <w:left w:val="outset" w:sz="6" w:space="0" w:color="auto"/>
              <w:bottom w:val="outset" w:sz="6" w:space="0" w:color="auto"/>
              <w:right w:val="outset" w:sz="6" w:space="0" w:color="auto"/>
            </w:tcBorders>
            <w:shd w:val="clear" w:color="auto" w:fill="323F48"/>
            <w:tcMar>
              <w:top w:w="225" w:type="dxa"/>
              <w:left w:w="225" w:type="dxa"/>
              <w:bottom w:w="225" w:type="dxa"/>
              <w:right w:w="225" w:type="dxa"/>
            </w:tcMar>
            <w:hideMark/>
          </w:tcPr>
          <w:p w14:paraId="7C8499C2" w14:textId="77777777" w:rsidR="004B6D63" w:rsidRPr="004B6D63" w:rsidRDefault="004B6D63" w:rsidP="004B6D63">
            <w:pPr>
              <w:spacing w:after="0" w:line="240" w:lineRule="auto"/>
              <w:jc w:val="center"/>
              <w:rPr>
                <w:rFonts w:ascii="Century Gothic" w:eastAsia="Times New Roman" w:hAnsi="Century Gothic" w:cs="Times New Roman"/>
                <w:sz w:val="20"/>
                <w:szCs w:val="20"/>
                <w:lang w:eastAsia="en-ZA"/>
              </w:rPr>
            </w:pPr>
            <w:r w:rsidRPr="004B6D63">
              <w:rPr>
                <w:rFonts w:ascii="Century Gothic" w:eastAsia="Times New Roman" w:hAnsi="Century Gothic" w:cs="Times New Roman"/>
                <w:b/>
                <w:bCs/>
                <w:sz w:val="20"/>
                <w:szCs w:val="20"/>
                <w:lang w:eastAsia="en-ZA"/>
              </w:rPr>
              <w:t>Automatic exemption from certain provisions in POPIA</w:t>
            </w:r>
          </w:p>
        </w:tc>
      </w:tr>
      <w:tr w:rsidR="004B6D63" w:rsidRPr="004B6D63" w14:paraId="3FC751DB" w14:textId="77777777" w:rsidTr="004B6D63">
        <w:tc>
          <w:tcPr>
            <w:tcW w:w="750" w:type="pct"/>
            <w:tcBorders>
              <w:top w:val="outset" w:sz="6" w:space="0" w:color="auto"/>
              <w:left w:val="outset" w:sz="6" w:space="0" w:color="auto"/>
              <w:bottom w:val="outset" w:sz="6" w:space="0" w:color="auto"/>
              <w:right w:val="outset" w:sz="6" w:space="0" w:color="auto"/>
            </w:tcBorders>
            <w:shd w:val="clear" w:color="auto" w:fill="D8D8D8"/>
            <w:tcMar>
              <w:top w:w="225" w:type="dxa"/>
              <w:left w:w="225" w:type="dxa"/>
              <w:bottom w:w="225" w:type="dxa"/>
              <w:right w:w="225" w:type="dxa"/>
            </w:tcMar>
            <w:hideMark/>
          </w:tcPr>
          <w:p w14:paraId="081E30AF" w14:textId="77777777" w:rsidR="004B6D63" w:rsidRPr="004B6D63" w:rsidRDefault="004B6D63" w:rsidP="004B6D63">
            <w:pPr>
              <w:spacing w:after="150" w:line="330" w:lineRule="atLeast"/>
              <w:jc w:val="both"/>
              <w:rPr>
                <w:rFonts w:ascii="Century Gothic" w:eastAsia="Times New Roman" w:hAnsi="Century Gothic" w:cs="Times New Roman"/>
                <w:b/>
                <w:bCs/>
                <w:sz w:val="20"/>
                <w:szCs w:val="20"/>
                <w:lang w:eastAsia="en-ZA"/>
              </w:rPr>
            </w:pPr>
            <w:r w:rsidRPr="004B6D63">
              <w:rPr>
                <w:rFonts w:ascii="Century Gothic" w:eastAsia="Times New Roman" w:hAnsi="Century Gothic" w:cs="Times New Roman"/>
                <w:b/>
                <w:bCs/>
                <w:sz w:val="20"/>
                <w:szCs w:val="20"/>
                <w:lang w:eastAsia="en-ZA"/>
              </w:rPr>
              <w:t>Who does this apply to?</w:t>
            </w:r>
          </w:p>
        </w:tc>
        <w:tc>
          <w:tcPr>
            <w:tcW w:w="1500" w:type="pct"/>
            <w:tcBorders>
              <w:top w:val="outset" w:sz="6" w:space="0" w:color="auto"/>
              <w:left w:val="outset" w:sz="6" w:space="0" w:color="auto"/>
              <w:bottom w:val="outset" w:sz="6" w:space="0" w:color="auto"/>
              <w:right w:val="outset" w:sz="6" w:space="0" w:color="auto"/>
            </w:tcBorders>
            <w:tcMar>
              <w:top w:w="225" w:type="dxa"/>
              <w:left w:w="225" w:type="dxa"/>
              <w:bottom w:w="225" w:type="dxa"/>
              <w:right w:w="225" w:type="dxa"/>
            </w:tcMar>
            <w:hideMark/>
          </w:tcPr>
          <w:p w14:paraId="093E58C8" w14:textId="77777777" w:rsidR="004B6D63" w:rsidRPr="004B6D63" w:rsidRDefault="004B6D63" w:rsidP="004B6D63">
            <w:pPr>
              <w:spacing w:after="150" w:line="330" w:lineRule="atLeast"/>
              <w:jc w:val="both"/>
              <w:rPr>
                <w:rFonts w:ascii="Century Gothic" w:eastAsia="Times New Roman" w:hAnsi="Century Gothic" w:cs="Times New Roman"/>
                <w:sz w:val="20"/>
                <w:szCs w:val="20"/>
                <w:lang w:eastAsia="en-ZA"/>
              </w:rPr>
            </w:pPr>
            <w:r w:rsidRPr="004B6D63">
              <w:rPr>
                <w:rFonts w:ascii="Century Gothic" w:eastAsia="Times New Roman" w:hAnsi="Century Gothic" w:cs="Times New Roman"/>
                <w:sz w:val="20"/>
                <w:szCs w:val="20"/>
                <w:lang w:eastAsia="en-ZA"/>
              </w:rPr>
              <w:t xml:space="preserve">Organisations that process personal </w:t>
            </w:r>
            <w:proofErr w:type="gramStart"/>
            <w:r w:rsidRPr="004B6D63">
              <w:rPr>
                <w:rFonts w:ascii="Century Gothic" w:eastAsia="Times New Roman" w:hAnsi="Century Gothic" w:cs="Times New Roman"/>
                <w:sz w:val="20"/>
                <w:szCs w:val="20"/>
                <w:lang w:eastAsia="en-ZA"/>
              </w:rPr>
              <w:t>information</w:t>
            </w:r>
            <w:proofErr w:type="gramEnd"/>
            <w:r w:rsidRPr="004B6D63">
              <w:rPr>
                <w:rFonts w:ascii="Century Gothic" w:eastAsia="Times New Roman" w:hAnsi="Century Gothic" w:cs="Times New Roman"/>
                <w:sz w:val="20"/>
                <w:szCs w:val="20"/>
                <w:lang w:eastAsia="en-ZA"/>
              </w:rPr>
              <w:t xml:space="preserve"> which is in the </w:t>
            </w:r>
            <w:r w:rsidRPr="004B6D63">
              <w:rPr>
                <w:rFonts w:ascii="Century Gothic" w:eastAsia="Times New Roman" w:hAnsi="Century Gothic" w:cs="Times New Roman"/>
                <w:sz w:val="20"/>
                <w:szCs w:val="20"/>
                <w:u w:val="single"/>
                <w:lang w:eastAsia="en-ZA"/>
              </w:rPr>
              <w:t>public interest</w:t>
            </w:r>
            <w:r w:rsidRPr="004B6D63">
              <w:rPr>
                <w:rFonts w:ascii="Century Gothic" w:eastAsia="Times New Roman" w:hAnsi="Century Gothic" w:cs="Times New Roman"/>
                <w:sz w:val="20"/>
                <w:szCs w:val="20"/>
                <w:lang w:eastAsia="en-ZA"/>
              </w:rPr>
              <w:t>, where such processing outweighs the data subject's right to privacy. This will be assessed by the Information Regulator on a case-by-case basis.</w:t>
            </w:r>
          </w:p>
          <w:p w14:paraId="37E0B4C4" w14:textId="77777777" w:rsidR="004B6D63" w:rsidRPr="004B6D63" w:rsidRDefault="004B6D63" w:rsidP="004B6D63">
            <w:pPr>
              <w:spacing w:after="150" w:line="330" w:lineRule="atLeast"/>
              <w:jc w:val="both"/>
              <w:rPr>
                <w:rFonts w:ascii="Century Gothic" w:eastAsia="Times New Roman" w:hAnsi="Century Gothic" w:cs="Times New Roman"/>
                <w:sz w:val="20"/>
                <w:szCs w:val="20"/>
                <w:lang w:eastAsia="en-ZA"/>
              </w:rPr>
            </w:pPr>
            <w:r w:rsidRPr="004B6D63">
              <w:rPr>
                <w:rFonts w:ascii="Century Gothic" w:eastAsia="Times New Roman" w:hAnsi="Century Gothic" w:cs="Times New Roman"/>
                <w:sz w:val="20"/>
                <w:szCs w:val="20"/>
                <w:lang w:eastAsia="en-ZA"/>
              </w:rPr>
              <w:t xml:space="preserve">"Public interest" is an action, process or outcome that generally benefits the public at large, not just one person or a few persons. POPIA provides that the public interest includes various scenarios, such as the interests of </w:t>
            </w:r>
            <w:r w:rsidRPr="004B6D63">
              <w:rPr>
                <w:rFonts w:ascii="Century Gothic" w:eastAsia="Times New Roman" w:hAnsi="Century Gothic" w:cs="Times New Roman"/>
                <w:sz w:val="20"/>
                <w:szCs w:val="20"/>
                <w:lang w:eastAsia="en-ZA"/>
              </w:rPr>
              <w:lastRenderedPageBreak/>
              <w:t xml:space="preserve">national security and the prevention, </w:t>
            </w:r>
            <w:proofErr w:type="gramStart"/>
            <w:r w:rsidRPr="004B6D63">
              <w:rPr>
                <w:rFonts w:ascii="Century Gothic" w:eastAsia="Times New Roman" w:hAnsi="Century Gothic" w:cs="Times New Roman"/>
                <w:sz w:val="20"/>
                <w:szCs w:val="20"/>
                <w:lang w:eastAsia="en-ZA"/>
              </w:rPr>
              <w:t>detection</w:t>
            </w:r>
            <w:proofErr w:type="gramEnd"/>
            <w:r w:rsidRPr="004B6D63">
              <w:rPr>
                <w:rFonts w:ascii="Century Gothic" w:eastAsia="Times New Roman" w:hAnsi="Century Gothic" w:cs="Times New Roman"/>
                <w:sz w:val="20"/>
                <w:szCs w:val="20"/>
                <w:lang w:eastAsia="en-ZA"/>
              </w:rPr>
              <w:t xml:space="preserve"> and prosecution of offences (amongst others).</w:t>
            </w:r>
          </w:p>
        </w:tc>
        <w:tc>
          <w:tcPr>
            <w:tcW w:w="1500" w:type="pct"/>
            <w:tcBorders>
              <w:top w:val="outset" w:sz="6" w:space="0" w:color="auto"/>
              <w:left w:val="outset" w:sz="6" w:space="0" w:color="auto"/>
              <w:bottom w:val="outset" w:sz="6" w:space="0" w:color="auto"/>
              <w:right w:val="outset" w:sz="6" w:space="0" w:color="auto"/>
            </w:tcBorders>
            <w:tcMar>
              <w:top w:w="225" w:type="dxa"/>
              <w:left w:w="225" w:type="dxa"/>
              <w:bottom w:w="225" w:type="dxa"/>
              <w:right w:w="225" w:type="dxa"/>
            </w:tcMar>
            <w:hideMark/>
          </w:tcPr>
          <w:p w14:paraId="4283A150" w14:textId="77777777" w:rsidR="004B6D63" w:rsidRPr="004B6D63" w:rsidRDefault="004B6D63" w:rsidP="004B6D63">
            <w:pPr>
              <w:spacing w:after="150" w:line="330" w:lineRule="atLeast"/>
              <w:jc w:val="both"/>
              <w:rPr>
                <w:rFonts w:ascii="Century Gothic" w:eastAsia="Times New Roman" w:hAnsi="Century Gothic" w:cs="Times New Roman"/>
                <w:sz w:val="20"/>
                <w:szCs w:val="20"/>
                <w:lang w:eastAsia="en-ZA"/>
              </w:rPr>
            </w:pPr>
            <w:r w:rsidRPr="004B6D63">
              <w:rPr>
                <w:rFonts w:ascii="Century Gothic" w:eastAsia="Times New Roman" w:hAnsi="Century Gothic" w:cs="Times New Roman"/>
                <w:sz w:val="20"/>
                <w:szCs w:val="20"/>
                <w:lang w:eastAsia="en-ZA"/>
              </w:rPr>
              <w:lastRenderedPageBreak/>
              <w:t>Organisations that process personal information which has a </w:t>
            </w:r>
            <w:r w:rsidRPr="004B6D63">
              <w:rPr>
                <w:rFonts w:ascii="Century Gothic" w:eastAsia="Times New Roman" w:hAnsi="Century Gothic" w:cs="Times New Roman"/>
                <w:sz w:val="20"/>
                <w:szCs w:val="20"/>
                <w:u w:val="single"/>
                <w:lang w:eastAsia="en-ZA"/>
              </w:rPr>
              <w:t>clear benefit</w:t>
            </w:r>
            <w:r w:rsidRPr="004B6D63">
              <w:rPr>
                <w:rFonts w:ascii="Century Gothic" w:eastAsia="Times New Roman" w:hAnsi="Century Gothic" w:cs="Times New Roman"/>
                <w:sz w:val="20"/>
                <w:szCs w:val="20"/>
                <w:lang w:eastAsia="en-ZA"/>
              </w:rPr>
              <w:t> to the data subject or a third party, where such processing outweighs the data subject or third party's right to privacy.</w:t>
            </w:r>
          </w:p>
          <w:p w14:paraId="4ED0594C" w14:textId="77777777" w:rsidR="004B6D63" w:rsidRPr="004B6D63" w:rsidRDefault="004B6D63" w:rsidP="004B6D63">
            <w:pPr>
              <w:spacing w:after="150" w:line="330" w:lineRule="atLeast"/>
              <w:jc w:val="both"/>
              <w:rPr>
                <w:rFonts w:ascii="Century Gothic" w:eastAsia="Times New Roman" w:hAnsi="Century Gothic" w:cs="Times New Roman"/>
                <w:sz w:val="20"/>
                <w:szCs w:val="20"/>
                <w:lang w:eastAsia="en-ZA"/>
              </w:rPr>
            </w:pPr>
            <w:r w:rsidRPr="004B6D63">
              <w:rPr>
                <w:rFonts w:ascii="Century Gothic" w:eastAsia="Times New Roman" w:hAnsi="Century Gothic" w:cs="Times New Roman"/>
                <w:sz w:val="20"/>
                <w:szCs w:val="20"/>
                <w:lang w:eastAsia="en-ZA"/>
              </w:rPr>
              <w:t>Neither POPIA nor the Guidance Note contain a definition of "clear benefit".</w:t>
            </w:r>
          </w:p>
          <w:p w14:paraId="29FE8D48" w14:textId="77777777" w:rsidR="004B6D63" w:rsidRPr="004B6D63" w:rsidRDefault="004B6D63" w:rsidP="004B6D63">
            <w:pPr>
              <w:spacing w:after="150" w:line="330" w:lineRule="atLeast"/>
              <w:jc w:val="both"/>
              <w:rPr>
                <w:rFonts w:ascii="Century Gothic" w:eastAsia="Times New Roman" w:hAnsi="Century Gothic" w:cs="Times New Roman"/>
                <w:sz w:val="20"/>
                <w:szCs w:val="20"/>
                <w:lang w:eastAsia="en-ZA"/>
              </w:rPr>
            </w:pPr>
            <w:r w:rsidRPr="004B6D63">
              <w:rPr>
                <w:rFonts w:ascii="Century Gothic" w:eastAsia="Times New Roman" w:hAnsi="Century Gothic" w:cs="Times New Roman"/>
                <w:sz w:val="20"/>
                <w:szCs w:val="20"/>
                <w:lang w:eastAsia="en-ZA"/>
              </w:rPr>
              <w:t xml:space="preserve">The applicant must explain (i) why its processing of personal information in breach of POPIA benefits a data subject or third party; (ii) the nature of the benefit; </w:t>
            </w:r>
            <w:r w:rsidRPr="004B6D63">
              <w:rPr>
                <w:rFonts w:ascii="Century Gothic" w:eastAsia="Times New Roman" w:hAnsi="Century Gothic" w:cs="Times New Roman"/>
                <w:sz w:val="20"/>
                <w:szCs w:val="20"/>
                <w:lang w:eastAsia="en-ZA"/>
              </w:rPr>
              <w:lastRenderedPageBreak/>
              <w:t>and (iii) how it outweighs the privacy rights of a data subject or third party.</w:t>
            </w:r>
          </w:p>
        </w:tc>
        <w:tc>
          <w:tcPr>
            <w:tcW w:w="1500" w:type="pct"/>
            <w:tcBorders>
              <w:top w:val="outset" w:sz="6" w:space="0" w:color="auto"/>
              <w:left w:val="outset" w:sz="6" w:space="0" w:color="auto"/>
              <w:bottom w:val="outset" w:sz="6" w:space="0" w:color="auto"/>
              <w:right w:val="outset" w:sz="6" w:space="0" w:color="auto"/>
            </w:tcBorders>
            <w:tcMar>
              <w:top w:w="225" w:type="dxa"/>
              <w:left w:w="225" w:type="dxa"/>
              <w:bottom w:w="225" w:type="dxa"/>
              <w:right w:w="225" w:type="dxa"/>
            </w:tcMar>
            <w:hideMark/>
          </w:tcPr>
          <w:p w14:paraId="257EC060" w14:textId="77777777" w:rsidR="004B6D63" w:rsidRPr="004B6D63" w:rsidRDefault="004B6D63" w:rsidP="004B6D63">
            <w:pPr>
              <w:spacing w:after="150" w:line="330" w:lineRule="atLeast"/>
              <w:jc w:val="both"/>
              <w:rPr>
                <w:rFonts w:ascii="Century Gothic" w:eastAsia="Times New Roman" w:hAnsi="Century Gothic" w:cs="Times New Roman"/>
                <w:sz w:val="20"/>
                <w:szCs w:val="20"/>
                <w:lang w:eastAsia="en-ZA"/>
              </w:rPr>
            </w:pPr>
            <w:r w:rsidRPr="004B6D63">
              <w:rPr>
                <w:rFonts w:ascii="Century Gothic" w:eastAsia="Times New Roman" w:hAnsi="Century Gothic" w:cs="Times New Roman"/>
                <w:sz w:val="20"/>
                <w:szCs w:val="20"/>
                <w:lang w:eastAsia="en-ZA"/>
              </w:rPr>
              <w:lastRenderedPageBreak/>
              <w:t>Organisations that process personal information to discharge a </w:t>
            </w:r>
            <w:r w:rsidRPr="004B6D63">
              <w:rPr>
                <w:rFonts w:ascii="Century Gothic" w:eastAsia="Times New Roman" w:hAnsi="Century Gothic" w:cs="Times New Roman"/>
                <w:sz w:val="20"/>
                <w:szCs w:val="20"/>
                <w:u w:val="single"/>
                <w:lang w:eastAsia="en-ZA"/>
              </w:rPr>
              <w:t>relevant function</w:t>
            </w:r>
            <w:r w:rsidRPr="004B6D63">
              <w:rPr>
                <w:rFonts w:ascii="Century Gothic" w:eastAsia="Times New Roman" w:hAnsi="Century Gothic" w:cs="Times New Roman"/>
                <w:sz w:val="20"/>
                <w:szCs w:val="20"/>
                <w:lang w:eastAsia="en-ZA"/>
              </w:rPr>
              <w:t>.</w:t>
            </w:r>
          </w:p>
          <w:p w14:paraId="0AA6E5B7" w14:textId="77777777" w:rsidR="004B6D63" w:rsidRPr="004B6D63" w:rsidRDefault="004B6D63" w:rsidP="004B6D63">
            <w:pPr>
              <w:spacing w:after="150" w:line="330" w:lineRule="atLeast"/>
              <w:jc w:val="both"/>
              <w:rPr>
                <w:rFonts w:ascii="Century Gothic" w:eastAsia="Times New Roman" w:hAnsi="Century Gothic" w:cs="Times New Roman"/>
                <w:sz w:val="20"/>
                <w:szCs w:val="20"/>
                <w:lang w:eastAsia="en-ZA"/>
              </w:rPr>
            </w:pPr>
            <w:r w:rsidRPr="004B6D63">
              <w:rPr>
                <w:rFonts w:ascii="Century Gothic" w:eastAsia="Times New Roman" w:hAnsi="Century Gothic" w:cs="Times New Roman"/>
                <w:sz w:val="20"/>
                <w:szCs w:val="20"/>
                <w:lang w:eastAsia="en-ZA"/>
              </w:rPr>
              <w:t xml:space="preserve">A relevant function means a function of a public body or a function which is given to a person by law to protect members of the public against (i) financial loss in providing financial services or managing bodies corporate; or (ii) improper conduct or incompetence of a </w:t>
            </w:r>
            <w:r w:rsidRPr="004B6D63">
              <w:rPr>
                <w:rFonts w:ascii="Century Gothic" w:eastAsia="Times New Roman" w:hAnsi="Century Gothic" w:cs="Times New Roman"/>
                <w:sz w:val="20"/>
                <w:szCs w:val="20"/>
                <w:lang w:eastAsia="en-ZA"/>
              </w:rPr>
              <w:lastRenderedPageBreak/>
              <w:t>person that carries on a profession or other activity.</w:t>
            </w:r>
          </w:p>
        </w:tc>
      </w:tr>
      <w:tr w:rsidR="004B6D63" w:rsidRPr="004B6D63" w14:paraId="68A6F6B2" w14:textId="77777777" w:rsidTr="004B6D63">
        <w:tc>
          <w:tcPr>
            <w:tcW w:w="750" w:type="pct"/>
            <w:tcBorders>
              <w:top w:val="outset" w:sz="6" w:space="0" w:color="auto"/>
              <w:left w:val="outset" w:sz="6" w:space="0" w:color="auto"/>
              <w:bottom w:val="outset" w:sz="6" w:space="0" w:color="auto"/>
              <w:right w:val="outset" w:sz="6" w:space="0" w:color="auto"/>
            </w:tcBorders>
            <w:shd w:val="clear" w:color="auto" w:fill="D8D8D8"/>
            <w:tcMar>
              <w:top w:w="225" w:type="dxa"/>
              <w:left w:w="225" w:type="dxa"/>
              <w:bottom w:w="225" w:type="dxa"/>
              <w:right w:w="225" w:type="dxa"/>
            </w:tcMar>
            <w:hideMark/>
          </w:tcPr>
          <w:p w14:paraId="5C9C171F" w14:textId="77777777" w:rsidR="004B6D63" w:rsidRPr="004B6D63" w:rsidRDefault="004B6D63" w:rsidP="004B6D63">
            <w:pPr>
              <w:spacing w:after="150" w:line="330" w:lineRule="atLeast"/>
              <w:jc w:val="both"/>
              <w:rPr>
                <w:rFonts w:ascii="Century Gothic" w:eastAsia="Times New Roman" w:hAnsi="Century Gothic" w:cs="Times New Roman"/>
                <w:b/>
                <w:bCs/>
                <w:sz w:val="20"/>
                <w:szCs w:val="20"/>
                <w:lang w:eastAsia="en-ZA"/>
              </w:rPr>
            </w:pPr>
            <w:r w:rsidRPr="004B6D63">
              <w:rPr>
                <w:rFonts w:ascii="Century Gothic" w:eastAsia="Times New Roman" w:hAnsi="Century Gothic" w:cs="Times New Roman"/>
                <w:b/>
                <w:bCs/>
                <w:sz w:val="20"/>
                <w:szCs w:val="20"/>
                <w:lang w:eastAsia="en-ZA"/>
              </w:rPr>
              <w:lastRenderedPageBreak/>
              <w:t>Example</w:t>
            </w:r>
          </w:p>
        </w:tc>
        <w:tc>
          <w:tcPr>
            <w:tcW w:w="1500" w:type="pct"/>
            <w:tcBorders>
              <w:top w:val="outset" w:sz="6" w:space="0" w:color="auto"/>
              <w:left w:val="outset" w:sz="6" w:space="0" w:color="auto"/>
              <w:bottom w:val="outset" w:sz="6" w:space="0" w:color="auto"/>
              <w:right w:val="outset" w:sz="6" w:space="0" w:color="auto"/>
            </w:tcBorders>
            <w:tcMar>
              <w:top w:w="225" w:type="dxa"/>
              <w:left w:w="225" w:type="dxa"/>
              <w:bottom w:w="225" w:type="dxa"/>
              <w:right w:w="225" w:type="dxa"/>
            </w:tcMar>
            <w:hideMark/>
          </w:tcPr>
          <w:p w14:paraId="6B2FF4EC" w14:textId="77777777" w:rsidR="004B6D63" w:rsidRPr="004B6D63" w:rsidRDefault="004B6D63" w:rsidP="004B6D63">
            <w:pPr>
              <w:spacing w:after="150" w:line="330" w:lineRule="atLeast"/>
              <w:jc w:val="both"/>
              <w:rPr>
                <w:rFonts w:ascii="Century Gothic" w:eastAsia="Times New Roman" w:hAnsi="Century Gothic" w:cs="Times New Roman"/>
                <w:sz w:val="20"/>
                <w:szCs w:val="20"/>
                <w:lang w:eastAsia="en-ZA"/>
              </w:rPr>
            </w:pPr>
            <w:r w:rsidRPr="004B6D63">
              <w:rPr>
                <w:rFonts w:ascii="Century Gothic" w:eastAsia="Times New Roman" w:hAnsi="Century Gothic" w:cs="Times New Roman"/>
                <w:sz w:val="20"/>
                <w:szCs w:val="20"/>
                <w:lang w:eastAsia="en-ZA"/>
              </w:rPr>
              <w:t>A public body which is tasked with investigating fraud and corruption can apply for an exemption from some POPIA provisions, as the public interest in eradicating fraud and corruption outweighs any privacy rights of the individuals being investigated.</w:t>
            </w:r>
          </w:p>
        </w:tc>
        <w:tc>
          <w:tcPr>
            <w:tcW w:w="0" w:type="auto"/>
            <w:tcBorders>
              <w:top w:val="outset" w:sz="6" w:space="0" w:color="auto"/>
              <w:left w:val="outset" w:sz="6" w:space="0" w:color="auto"/>
              <w:bottom w:val="outset" w:sz="6" w:space="0" w:color="auto"/>
              <w:right w:val="outset" w:sz="6" w:space="0" w:color="auto"/>
            </w:tcBorders>
            <w:tcMar>
              <w:top w:w="225" w:type="dxa"/>
              <w:left w:w="225" w:type="dxa"/>
              <w:bottom w:w="225" w:type="dxa"/>
              <w:right w:w="225" w:type="dxa"/>
            </w:tcMar>
            <w:hideMark/>
          </w:tcPr>
          <w:p w14:paraId="29D3FAD2" w14:textId="77777777" w:rsidR="004B6D63" w:rsidRPr="004B6D63" w:rsidRDefault="004B6D63" w:rsidP="004B6D63">
            <w:pPr>
              <w:spacing w:after="150" w:line="330" w:lineRule="atLeast"/>
              <w:jc w:val="both"/>
              <w:rPr>
                <w:rFonts w:ascii="Century Gothic" w:eastAsia="Times New Roman" w:hAnsi="Century Gothic" w:cs="Times New Roman"/>
                <w:sz w:val="20"/>
                <w:szCs w:val="20"/>
                <w:lang w:eastAsia="en-ZA"/>
              </w:rPr>
            </w:pPr>
            <w:r w:rsidRPr="004B6D63">
              <w:rPr>
                <w:rFonts w:ascii="Century Gothic" w:eastAsia="Times New Roman" w:hAnsi="Century Gothic" w:cs="Times New Roman"/>
                <w:sz w:val="20"/>
                <w:szCs w:val="20"/>
                <w:lang w:eastAsia="en-ZA"/>
              </w:rPr>
              <w:t>An organisation that processes university students' personal information for the sole purpose of granting bursaries to selected students can apply for an exemption from some POPIA provisions, as the university students benefit financially from their personal information being processed.</w:t>
            </w:r>
          </w:p>
        </w:tc>
        <w:tc>
          <w:tcPr>
            <w:tcW w:w="0" w:type="auto"/>
            <w:tcBorders>
              <w:top w:val="outset" w:sz="6" w:space="0" w:color="auto"/>
              <w:left w:val="outset" w:sz="6" w:space="0" w:color="auto"/>
              <w:bottom w:val="outset" w:sz="6" w:space="0" w:color="auto"/>
              <w:right w:val="outset" w:sz="6" w:space="0" w:color="auto"/>
            </w:tcBorders>
            <w:tcMar>
              <w:top w:w="225" w:type="dxa"/>
              <w:left w:w="225" w:type="dxa"/>
              <w:bottom w:w="225" w:type="dxa"/>
              <w:right w:w="225" w:type="dxa"/>
            </w:tcMar>
            <w:hideMark/>
          </w:tcPr>
          <w:p w14:paraId="444A1225" w14:textId="77777777" w:rsidR="004B6D63" w:rsidRPr="004B6D63" w:rsidRDefault="004B6D63" w:rsidP="004B6D63">
            <w:pPr>
              <w:spacing w:after="150" w:line="330" w:lineRule="atLeast"/>
              <w:jc w:val="both"/>
              <w:rPr>
                <w:rFonts w:ascii="Century Gothic" w:eastAsia="Times New Roman" w:hAnsi="Century Gothic" w:cs="Times New Roman"/>
                <w:sz w:val="20"/>
                <w:szCs w:val="20"/>
                <w:lang w:eastAsia="en-ZA"/>
              </w:rPr>
            </w:pPr>
            <w:r w:rsidRPr="004B6D63">
              <w:rPr>
                <w:rFonts w:ascii="Century Gothic" w:eastAsia="Times New Roman" w:hAnsi="Century Gothic" w:cs="Times New Roman"/>
                <w:sz w:val="20"/>
                <w:szCs w:val="20"/>
                <w:lang w:eastAsia="en-ZA"/>
              </w:rPr>
              <w:t>A body established under law to regulate the affairs of accountants may be automatically exempt from certain POPIA provisions, when processing is performed to protect the public against dishonesty or malpractice of accountants.</w:t>
            </w:r>
          </w:p>
        </w:tc>
      </w:tr>
      <w:tr w:rsidR="004B6D63" w:rsidRPr="004B6D63" w14:paraId="421C3A66" w14:textId="77777777" w:rsidTr="004B6D63">
        <w:tc>
          <w:tcPr>
            <w:tcW w:w="750" w:type="pct"/>
            <w:tcBorders>
              <w:top w:val="outset" w:sz="6" w:space="0" w:color="auto"/>
              <w:left w:val="outset" w:sz="6" w:space="0" w:color="auto"/>
              <w:bottom w:val="outset" w:sz="6" w:space="0" w:color="auto"/>
              <w:right w:val="outset" w:sz="6" w:space="0" w:color="auto"/>
            </w:tcBorders>
            <w:shd w:val="clear" w:color="auto" w:fill="D8D8D8"/>
            <w:tcMar>
              <w:top w:w="225" w:type="dxa"/>
              <w:left w:w="225" w:type="dxa"/>
              <w:bottom w:w="225" w:type="dxa"/>
              <w:right w:w="225" w:type="dxa"/>
            </w:tcMar>
            <w:hideMark/>
          </w:tcPr>
          <w:p w14:paraId="68530206" w14:textId="77777777" w:rsidR="004B6D63" w:rsidRPr="004B6D63" w:rsidRDefault="004B6D63" w:rsidP="004B6D63">
            <w:pPr>
              <w:spacing w:after="150" w:line="330" w:lineRule="atLeast"/>
              <w:jc w:val="both"/>
              <w:rPr>
                <w:rFonts w:ascii="Century Gothic" w:eastAsia="Times New Roman" w:hAnsi="Century Gothic" w:cs="Times New Roman"/>
                <w:b/>
                <w:bCs/>
                <w:sz w:val="20"/>
                <w:szCs w:val="20"/>
                <w:lang w:eastAsia="en-ZA"/>
              </w:rPr>
            </w:pPr>
            <w:r w:rsidRPr="004B6D63">
              <w:rPr>
                <w:rFonts w:ascii="Century Gothic" w:eastAsia="Times New Roman" w:hAnsi="Century Gothic" w:cs="Times New Roman"/>
                <w:b/>
                <w:bCs/>
                <w:sz w:val="20"/>
                <w:szCs w:val="20"/>
                <w:lang w:eastAsia="en-ZA"/>
              </w:rPr>
              <w:t>How to obtain the exemption</w:t>
            </w:r>
          </w:p>
        </w:tc>
        <w:tc>
          <w:tcPr>
            <w:tcW w:w="1500" w:type="pct"/>
            <w:tcBorders>
              <w:top w:val="outset" w:sz="6" w:space="0" w:color="auto"/>
              <w:left w:val="outset" w:sz="6" w:space="0" w:color="auto"/>
              <w:bottom w:val="outset" w:sz="6" w:space="0" w:color="auto"/>
              <w:right w:val="outset" w:sz="6" w:space="0" w:color="auto"/>
            </w:tcBorders>
            <w:tcMar>
              <w:top w:w="225" w:type="dxa"/>
              <w:left w:w="225" w:type="dxa"/>
              <w:bottom w:w="225" w:type="dxa"/>
              <w:right w:w="225" w:type="dxa"/>
            </w:tcMar>
            <w:hideMark/>
          </w:tcPr>
          <w:p w14:paraId="53818794" w14:textId="77777777" w:rsidR="004B6D63" w:rsidRPr="004B6D63" w:rsidRDefault="004B6D63" w:rsidP="004B6D63">
            <w:pPr>
              <w:spacing w:after="150" w:line="330" w:lineRule="atLeast"/>
              <w:jc w:val="both"/>
              <w:rPr>
                <w:rFonts w:ascii="Century Gothic" w:eastAsia="Times New Roman" w:hAnsi="Century Gothic" w:cs="Times New Roman"/>
                <w:sz w:val="20"/>
                <w:szCs w:val="20"/>
                <w:lang w:eastAsia="en-ZA"/>
              </w:rPr>
            </w:pPr>
            <w:r w:rsidRPr="004B6D63">
              <w:rPr>
                <w:rFonts w:ascii="Century Gothic" w:eastAsia="Times New Roman" w:hAnsi="Century Gothic" w:cs="Times New Roman"/>
                <w:sz w:val="20"/>
                <w:szCs w:val="20"/>
                <w:lang w:eastAsia="en-ZA"/>
              </w:rPr>
              <w:t xml:space="preserve">You must </w:t>
            </w:r>
            <w:proofErr w:type="gramStart"/>
            <w:r w:rsidRPr="004B6D63">
              <w:rPr>
                <w:rFonts w:ascii="Century Gothic" w:eastAsia="Times New Roman" w:hAnsi="Century Gothic" w:cs="Times New Roman"/>
                <w:sz w:val="20"/>
                <w:szCs w:val="20"/>
                <w:lang w:eastAsia="en-ZA"/>
              </w:rPr>
              <w:t>submit an application</w:t>
            </w:r>
            <w:proofErr w:type="gramEnd"/>
            <w:r w:rsidRPr="004B6D63">
              <w:rPr>
                <w:rFonts w:ascii="Century Gothic" w:eastAsia="Times New Roman" w:hAnsi="Century Gothic" w:cs="Times New Roman"/>
                <w:sz w:val="20"/>
                <w:szCs w:val="20"/>
                <w:lang w:eastAsia="en-ZA"/>
              </w:rPr>
              <w:t xml:space="preserve"> form in the prescribed format to the Information Regulator.</w:t>
            </w:r>
          </w:p>
        </w:tc>
        <w:tc>
          <w:tcPr>
            <w:tcW w:w="1500" w:type="pct"/>
            <w:tcBorders>
              <w:top w:val="outset" w:sz="6" w:space="0" w:color="auto"/>
              <w:left w:val="outset" w:sz="6" w:space="0" w:color="auto"/>
              <w:bottom w:val="outset" w:sz="6" w:space="0" w:color="auto"/>
              <w:right w:val="outset" w:sz="6" w:space="0" w:color="auto"/>
            </w:tcBorders>
            <w:tcMar>
              <w:top w:w="225" w:type="dxa"/>
              <w:left w:w="225" w:type="dxa"/>
              <w:bottom w:w="225" w:type="dxa"/>
              <w:right w:w="225" w:type="dxa"/>
            </w:tcMar>
            <w:hideMark/>
          </w:tcPr>
          <w:p w14:paraId="2B3B2C15" w14:textId="77777777" w:rsidR="004B6D63" w:rsidRPr="004B6D63" w:rsidRDefault="004B6D63" w:rsidP="004B6D63">
            <w:pPr>
              <w:spacing w:after="150" w:line="330" w:lineRule="atLeast"/>
              <w:jc w:val="both"/>
              <w:rPr>
                <w:rFonts w:ascii="Century Gothic" w:eastAsia="Times New Roman" w:hAnsi="Century Gothic" w:cs="Times New Roman"/>
                <w:sz w:val="20"/>
                <w:szCs w:val="20"/>
                <w:lang w:eastAsia="en-ZA"/>
              </w:rPr>
            </w:pPr>
            <w:r w:rsidRPr="004B6D63">
              <w:rPr>
                <w:rFonts w:ascii="Century Gothic" w:eastAsia="Times New Roman" w:hAnsi="Century Gothic" w:cs="Times New Roman"/>
                <w:sz w:val="20"/>
                <w:szCs w:val="20"/>
                <w:lang w:eastAsia="en-ZA"/>
              </w:rPr>
              <w:t xml:space="preserve">You must </w:t>
            </w:r>
            <w:proofErr w:type="gramStart"/>
            <w:r w:rsidRPr="004B6D63">
              <w:rPr>
                <w:rFonts w:ascii="Century Gothic" w:eastAsia="Times New Roman" w:hAnsi="Century Gothic" w:cs="Times New Roman"/>
                <w:sz w:val="20"/>
                <w:szCs w:val="20"/>
                <w:lang w:eastAsia="en-ZA"/>
              </w:rPr>
              <w:t>submit an application</w:t>
            </w:r>
            <w:proofErr w:type="gramEnd"/>
            <w:r w:rsidRPr="004B6D63">
              <w:rPr>
                <w:rFonts w:ascii="Century Gothic" w:eastAsia="Times New Roman" w:hAnsi="Century Gothic" w:cs="Times New Roman"/>
                <w:sz w:val="20"/>
                <w:szCs w:val="20"/>
                <w:lang w:eastAsia="en-ZA"/>
              </w:rPr>
              <w:t xml:space="preserve"> form in the prescribed format to the Information Regulator.</w:t>
            </w:r>
          </w:p>
        </w:tc>
        <w:tc>
          <w:tcPr>
            <w:tcW w:w="0" w:type="auto"/>
            <w:tcBorders>
              <w:top w:val="outset" w:sz="6" w:space="0" w:color="auto"/>
              <w:left w:val="outset" w:sz="6" w:space="0" w:color="auto"/>
              <w:bottom w:val="outset" w:sz="6" w:space="0" w:color="auto"/>
              <w:right w:val="outset" w:sz="6" w:space="0" w:color="auto"/>
            </w:tcBorders>
            <w:tcMar>
              <w:top w:w="225" w:type="dxa"/>
              <w:left w:w="225" w:type="dxa"/>
              <w:bottom w:w="225" w:type="dxa"/>
              <w:right w:w="225" w:type="dxa"/>
            </w:tcMar>
            <w:hideMark/>
          </w:tcPr>
          <w:p w14:paraId="1816EA03" w14:textId="77777777" w:rsidR="004B6D63" w:rsidRPr="004B6D63" w:rsidRDefault="004B6D63" w:rsidP="004B6D63">
            <w:pPr>
              <w:spacing w:after="150" w:line="330" w:lineRule="atLeast"/>
              <w:jc w:val="both"/>
              <w:rPr>
                <w:rFonts w:ascii="Century Gothic" w:eastAsia="Times New Roman" w:hAnsi="Century Gothic" w:cs="Times New Roman"/>
                <w:sz w:val="20"/>
                <w:szCs w:val="20"/>
                <w:lang w:eastAsia="en-ZA"/>
              </w:rPr>
            </w:pPr>
            <w:r w:rsidRPr="004B6D63">
              <w:rPr>
                <w:rFonts w:ascii="Century Gothic" w:eastAsia="Times New Roman" w:hAnsi="Century Gothic" w:cs="Times New Roman"/>
                <w:sz w:val="20"/>
                <w:szCs w:val="20"/>
                <w:lang w:eastAsia="en-ZA"/>
              </w:rPr>
              <w:t>No application form is required, but you must document your reasons for being automatically exempt.</w:t>
            </w:r>
          </w:p>
        </w:tc>
      </w:tr>
      <w:tr w:rsidR="004B6D63" w:rsidRPr="004B6D63" w14:paraId="71D8330C" w14:textId="77777777" w:rsidTr="004B6D63">
        <w:tc>
          <w:tcPr>
            <w:tcW w:w="750" w:type="pct"/>
            <w:tcBorders>
              <w:top w:val="outset" w:sz="6" w:space="0" w:color="auto"/>
              <w:left w:val="outset" w:sz="6" w:space="0" w:color="auto"/>
              <w:bottom w:val="outset" w:sz="6" w:space="0" w:color="auto"/>
              <w:right w:val="outset" w:sz="6" w:space="0" w:color="auto"/>
            </w:tcBorders>
            <w:shd w:val="clear" w:color="auto" w:fill="D8D8D8"/>
            <w:tcMar>
              <w:top w:w="225" w:type="dxa"/>
              <w:left w:w="225" w:type="dxa"/>
              <w:bottom w:w="225" w:type="dxa"/>
              <w:right w:w="225" w:type="dxa"/>
            </w:tcMar>
            <w:hideMark/>
          </w:tcPr>
          <w:p w14:paraId="4FF93591" w14:textId="77777777" w:rsidR="004B6D63" w:rsidRPr="004B6D63" w:rsidRDefault="004B6D63" w:rsidP="004B6D63">
            <w:pPr>
              <w:spacing w:after="150" w:line="330" w:lineRule="atLeast"/>
              <w:jc w:val="both"/>
              <w:rPr>
                <w:rFonts w:ascii="Century Gothic" w:eastAsia="Times New Roman" w:hAnsi="Century Gothic" w:cs="Times New Roman"/>
                <w:b/>
                <w:bCs/>
                <w:sz w:val="20"/>
                <w:szCs w:val="20"/>
                <w:lang w:eastAsia="en-ZA"/>
              </w:rPr>
            </w:pPr>
            <w:r w:rsidRPr="004B6D63">
              <w:rPr>
                <w:rFonts w:ascii="Century Gothic" w:eastAsia="Times New Roman" w:hAnsi="Century Gothic" w:cs="Times New Roman"/>
                <w:b/>
                <w:bCs/>
                <w:sz w:val="20"/>
                <w:szCs w:val="20"/>
                <w:lang w:eastAsia="en-ZA"/>
              </w:rPr>
              <w:t>When does the exemption come into effect?</w:t>
            </w:r>
          </w:p>
        </w:tc>
        <w:tc>
          <w:tcPr>
            <w:tcW w:w="1500" w:type="pct"/>
            <w:tcBorders>
              <w:top w:val="outset" w:sz="6" w:space="0" w:color="auto"/>
              <w:left w:val="outset" w:sz="6" w:space="0" w:color="auto"/>
              <w:bottom w:val="outset" w:sz="6" w:space="0" w:color="auto"/>
              <w:right w:val="outset" w:sz="6" w:space="0" w:color="auto"/>
            </w:tcBorders>
            <w:tcMar>
              <w:top w:w="225" w:type="dxa"/>
              <w:left w:w="225" w:type="dxa"/>
              <w:bottom w:w="225" w:type="dxa"/>
              <w:right w:w="225" w:type="dxa"/>
            </w:tcMar>
            <w:hideMark/>
          </w:tcPr>
          <w:p w14:paraId="2688E5B4" w14:textId="77777777" w:rsidR="004B6D63" w:rsidRPr="004B6D63" w:rsidRDefault="004B6D63" w:rsidP="004B6D63">
            <w:pPr>
              <w:spacing w:after="150" w:line="330" w:lineRule="atLeast"/>
              <w:jc w:val="both"/>
              <w:rPr>
                <w:rFonts w:ascii="Century Gothic" w:eastAsia="Times New Roman" w:hAnsi="Century Gothic" w:cs="Times New Roman"/>
                <w:sz w:val="20"/>
                <w:szCs w:val="20"/>
                <w:lang w:eastAsia="en-ZA"/>
              </w:rPr>
            </w:pPr>
            <w:r w:rsidRPr="004B6D63">
              <w:rPr>
                <w:rFonts w:ascii="Century Gothic" w:eastAsia="Times New Roman" w:hAnsi="Century Gothic" w:cs="Times New Roman"/>
                <w:sz w:val="20"/>
                <w:szCs w:val="20"/>
                <w:lang w:eastAsia="en-ZA"/>
              </w:rPr>
              <w:t>On publication in the Gazette.</w:t>
            </w:r>
          </w:p>
        </w:tc>
        <w:tc>
          <w:tcPr>
            <w:tcW w:w="1500" w:type="pct"/>
            <w:tcBorders>
              <w:top w:val="outset" w:sz="6" w:space="0" w:color="auto"/>
              <w:left w:val="outset" w:sz="6" w:space="0" w:color="auto"/>
              <w:bottom w:val="outset" w:sz="6" w:space="0" w:color="auto"/>
              <w:right w:val="outset" w:sz="6" w:space="0" w:color="auto"/>
            </w:tcBorders>
            <w:tcMar>
              <w:top w:w="225" w:type="dxa"/>
              <w:left w:w="225" w:type="dxa"/>
              <w:bottom w:w="225" w:type="dxa"/>
              <w:right w:w="225" w:type="dxa"/>
            </w:tcMar>
            <w:hideMark/>
          </w:tcPr>
          <w:p w14:paraId="6CE0DEB0" w14:textId="77777777" w:rsidR="004B6D63" w:rsidRPr="004B6D63" w:rsidRDefault="004B6D63" w:rsidP="004B6D63">
            <w:pPr>
              <w:spacing w:after="150" w:line="330" w:lineRule="atLeast"/>
              <w:jc w:val="both"/>
              <w:rPr>
                <w:rFonts w:ascii="Century Gothic" w:eastAsia="Times New Roman" w:hAnsi="Century Gothic" w:cs="Times New Roman"/>
                <w:sz w:val="20"/>
                <w:szCs w:val="20"/>
                <w:lang w:eastAsia="en-ZA"/>
              </w:rPr>
            </w:pPr>
            <w:r w:rsidRPr="004B6D63">
              <w:rPr>
                <w:rFonts w:ascii="Century Gothic" w:eastAsia="Times New Roman" w:hAnsi="Century Gothic" w:cs="Times New Roman"/>
                <w:sz w:val="20"/>
                <w:szCs w:val="20"/>
                <w:lang w:eastAsia="en-ZA"/>
              </w:rPr>
              <w:t>On publication in the Gazette.</w:t>
            </w:r>
          </w:p>
        </w:tc>
        <w:tc>
          <w:tcPr>
            <w:tcW w:w="1500" w:type="pct"/>
            <w:tcBorders>
              <w:top w:val="outset" w:sz="6" w:space="0" w:color="auto"/>
              <w:left w:val="outset" w:sz="6" w:space="0" w:color="auto"/>
              <w:bottom w:val="outset" w:sz="6" w:space="0" w:color="auto"/>
              <w:right w:val="outset" w:sz="6" w:space="0" w:color="auto"/>
            </w:tcBorders>
            <w:tcMar>
              <w:top w:w="225" w:type="dxa"/>
              <w:left w:w="225" w:type="dxa"/>
              <w:bottom w:w="225" w:type="dxa"/>
              <w:right w:w="225" w:type="dxa"/>
            </w:tcMar>
            <w:hideMark/>
          </w:tcPr>
          <w:p w14:paraId="09CBFDE7" w14:textId="77777777" w:rsidR="004B6D63" w:rsidRPr="004B6D63" w:rsidRDefault="004B6D63" w:rsidP="004B6D63">
            <w:pPr>
              <w:spacing w:after="150" w:line="330" w:lineRule="atLeast"/>
              <w:jc w:val="both"/>
              <w:rPr>
                <w:rFonts w:ascii="Century Gothic" w:eastAsia="Times New Roman" w:hAnsi="Century Gothic" w:cs="Times New Roman"/>
                <w:sz w:val="20"/>
                <w:szCs w:val="20"/>
                <w:lang w:eastAsia="en-ZA"/>
              </w:rPr>
            </w:pPr>
            <w:r w:rsidRPr="004B6D63">
              <w:rPr>
                <w:rFonts w:ascii="Century Gothic" w:eastAsia="Times New Roman" w:hAnsi="Century Gothic" w:cs="Times New Roman"/>
                <w:sz w:val="20"/>
                <w:szCs w:val="20"/>
                <w:lang w:eastAsia="en-ZA"/>
              </w:rPr>
              <w:t>Automatically.</w:t>
            </w:r>
          </w:p>
        </w:tc>
      </w:tr>
    </w:tbl>
    <w:p w14:paraId="0E2B530A" w14:textId="77777777" w:rsidR="004B6D63" w:rsidRPr="004B6D63" w:rsidRDefault="004B6D63" w:rsidP="004B6D63">
      <w:pPr>
        <w:shd w:val="clear" w:color="auto" w:fill="FFFFFF"/>
        <w:spacing w:before="100" w:beforeAutospacing="1" w:after="100" w:afterAutospacing="1" w:line="240" w:lineRule="auto"/>
        <w:outlineLvl w:val="2"/>
        <w:rPr>
          <w:rFonts w:ascii="Century Gothic" w:eastAsia="Times New Roman" w:hAnsi="Century Gothic" w:cs="Times New Roman"/>
          <w:sz w:val="20"/>
          <w:szCs w:val="20"/>
          <w:lang w:eastAsia="en-ZA"/>
        </w:rPr>
      </w:pPr>
      <w:r w:rsidRPr="004B6D63">
        <w:rPr>
          <w:rFonts w:ascii="Century Gothic" w:eastAsia="Times New Roman" w:hAnsi="Century Gothic" w:cs="Times New Roman"/>
          <w:sz w:val="20"/>
          <w:szCs w:val="20"/>
          <w:lang w:eastAsia="en-ZA"/>
        </w:rPr>
        <w:t>Information Officer registration</w:t>
      </w:r>
    </w:p>
    <w:p w14:paraId="2F1D6DE4" w14:textId="77777777" w:rsidR="004B6D63" w:rsidRPr="004B6D63" w:rsidRDefault="004B6D63" w:rsidP="004B6D63">
      <w:pPr>
        <w:shd w:val="clear" w:color="auto" w:fill="FFFFFF"/>
        <w:spacing w:after="150" w:line="330" w:lineRule="atLeast"/>
        <w:jc w:val="both"/>
        <w:rPr>
          <w:rFonts w:ascii="Century Gothic" w:eastAsia="Times New Roman" w:hAnsi="Century Gothic" w:cs="Times New Roman"/>
          <w:sz w:val="20"/>
          <w:szCs w:val="20"/>
          <w:lang w:eastAsia="en-ZA"/>
        </w:rPr>
      </w:pPr>
      <w:r w:rsidRPr="004B6D63">
        <w:rPr>
          <w:rFonts w:ascii="Century Gothic" w:eastAsia="Times New Roman" w:hAnsi="Century Gothic" w:cs="Times New Roman"/>
          <w:sz w:val="20"/>
          <w:szCs w:val="20"/>
          <w:lang w:eastAsia="en-ZA"/>
        </w:rPr>
        <w:t>There is no longer a deadline for registering your organisation's information officer (IO) and deputy information officer (DIO).  Due to technical glitches with the registration portal, the Information Regulator is investigating other "alternative registration processes".</w:t>
      </w:r>
    </w:p>
    <w:p w14:paraId="170D93B4" w14:textId="77777777" w:rsidR="004B6D63" w:rsidRPr="004B6D63" w:rsidRDefault="004B6D63" w:rsidP="004B6D63">
      <w:pPr>
        <w:shd w:val="clear" w:color="auto" w:fill="FFFFFF"/>
        <w:spacing w:after="150" w:line="330" w:lineRule="atLeast"/>
        <w:jc w:val="both"/>
        <w:rPr>
          <w:rFonts w:ascii="Century Gothic" w:eastAsia="Times New Roman" w:hAnsi="Century Gothic" w:cs="Times New Roman"/>
          <w:sz w:val="20"/>
          <w:szCs w:val="20"/>
          <w:lang w:eastAsia="en-ZA"/>
        </w:rPr>
      </w:pPr>
      <w:r w:rsidRPr="004B6D63">
        <w:rPr>
          <w:rFonts w:ascii="Century Gothic" w:eastAsia="Times New Roman" w:hAnsi="Century Gothic" w:cs="Times New Roman"/>
          <w:sz w:val="20"/>
          <w:szCs w:val="20"/>
          <w:lang w:eastAsia="en-ZA"/>
        </w:rPr>
        <w:t>Your organisation </w:t>
      </w:r>
      <w:r w:rsidRPr="004B6D63">
        <w:rPr>
          <w:rFonts w:ascii="Century Gothic" w:eastAsia="Times New Roman" w:hAnsi="Century Gothic" w:cs="Times New Roman"/>
          <w:sz w:val="20"/>
          <w:szCs w:val="20"/>
          <w:u w:val="single"/>
          <w:lang w:eastAsia="en-ZA"/>
        </w:rPr>
        <w:t>will not</w:t>
      </w:r>
      <w:r w:rsidRPr="004B6D63">
        <w:rPr>
          <w:rFonts w:ascii="Century Gothic" w:eastAsia="Times New Roman" w:hAnsi="Century Gothic" w:cs="Times New Roman"/>
          <w:sz w:val="20"/>
          <w:szCs w:val="20"/>
          <w:lang w:eastAsia="en-ZA"/>
        </w:rPr>
        <w:t> incur penalties if it does not register an IO or DIO by 30 June 2021. This creates a conundrum, as POPIA automatically assigns the role of IO to the head of private body such as a company, or to the IO or DIO of a public body in terms of the Promotion of Access to Information Act, 2000. However, POPIA also provides that an IO's duties only commence once he or she has been registered.</w:t>
      </w:r>
    </w:p>
    <w:p w14:paraId="7EE82BFD" w14:textId="77777777" w:rsidR="004B6D63" w:rsidRPr="004B6D63" w:rsidRDefault="004B6D63" w:rsidP="004B6D63">
      <w:pPr>
        <w:shd w:val="clear" w:color="auto" w:fill="FFFFFF"/>
        <w:spacing w:line="330" w:lineRule="atLeast"/>
        <w:jc w:val="both"/>
        <w:rPr>
          <w:rFonts w:ascii="Century Gothic" w:eastAsia="Times New Roman" w:hAnsi="Century Gothic" w:cs="Times New Roman"/>
          <w:sz w:val="20"/>
          <w:szCs w:val="20"/>
          <w:lang w:eastAsia="en-ZA"/>
        </w:rPr>
      </w:pPr>
      <w:r w:rsidRPr="004B6D63">
        <w:rPr>
          <w:rFonts w:ascii="Century Gothic" w:eastAsia="Times New Roman" w:hAnsi="Century Gothic" w:cs="Times New Roman"/>
          <w:sz w:val="20"/>
          <w:szCs w:val="20"/>
          <w:lang w:eastAsia="en-ZA"/>
        </w:rPr>
        <w:lastRenderedPageBreak/>
        <w:t xml:space="preserve">The Information Regulator has clarified that a Chief Executive Officer of an organisation can be the IO for multiple entities.  This statement addresses concerns raised by </w:t>
      </w:r>
      <w:proofErr w:type="gramStart"/>
      <w:r w:rsidRPr="004B6D63">
        <w:rPr>
          <w:rFonts w:ascii="Century Gothic" w:eastAsia="Times New Roman" w:hAnsi="Century Gothic" w:cs="Times New Roman"/>
          <w:sz w:val="20"/>
          <w:szCs w:val="20"/>
          <w:lang w:eastAsia="en-ZA"/>
        </w:rPr>
        <w:t>a large number of</w:t>
      </w:r>
      <w:proofErr w:type="gramEnd"/>
      <w:r w:rsidRPr="004B6D63">
        <w:rPr>
          <w:rFonts w:ascii="Century Gothic" w:eastAsia="Times New Roman" w:hAnsi="Century Gothic" w:cs="Times New Roman"/>
          <w:sz w:val="20"/>
          <w:szCs w:val="20"/>
          <w:lang w:eastAsia="en-ZA"/>
        </w:rPr>
        <w:t xml:space="preserve"> entities which, for example, wish to appoint one IO for all the members of a group of companies. Until now, the registration portal would not allow the same person's details to be used more than once, resulting in each company in a group having to appoint its own (different) IO.</w:t>
      </w:r>
    </w:p>
    <w:p w14:paraId="2BEC93AE" w14:textId="77777777" w:rsidR="00BA7F25" w:rsidRPr="004B6D63" w:rsidRDefault="00BA7F25">
      <w:pPr>
        <w:rPr>
          <w:rFonts w:ascii="Century Gothic" w:hAnsi="Century Gothic"/>
          <w:sz w:val="20"/>
          <w:szCs w:val="20"/>
        </w:rPr>
      </w:pPr>
    </w:p>
    <w:sectPr w:rsidR="00BA7F25" w:rsidRPr="004B6D63" w:rsidSect="004B6D6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E7851"/>
    <w:multiLevelType w:val="multilevel"/>
    <w:tmpl w:val="2F2E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D63"/>
    <w:rsid w:val="004B6D63"/>
    <w:rsid w:val="00BA7F2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13300"/>
  <w15:chartTrackingRefBased/>
  <w15:docId w15:val="{005CE9A4-19F5-4F86-80C5-96BB9F4B7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B6D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A"/>
    </w:rPr>
  </w:style>
  <w:style w:type="paragraph" w:styleId="Heading3">
    <w:name w:val="heading 3"/>
    <w:basedOn w:val="Normal"/>
    <w:link w:val="Heading3Char"/>
    <w:uiPriority w:val="9"/>
    <w:qFormat/>
    <w:rsid w:val="004B6D63"/>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D63"/>
    <w:rPr>
      <w:rFonts w:ascii="Times New Roman" w:eastAsia="Times New Roman" w:hAnsi="Times New Roman" w:cs="Times New Roman"/>
      <w:b/>
      <w:bCs/>
      <w:kern w:val="36"/>
      <w:sz w:val="48"/>
      <w:szCs w:val="48"/>
      <w:lang w:eastAsia="en-ZA"/>
    </w:rPr>
  </w:style>
  <w:style w:type="character" w:customStyle="1" w:styleId="Heading3Char">
    <w:name w:val="Heading 3 Char"/>
    <w:basedOn w:val="DefaultParagraphFont"/>
    <w:link w:val="Heading3"/>
    <w:uiPriority w:val="9"/>
    <w:rsid w:val="004B6D63"/>
    <w:rPr>
      <w:rFonts w:ascii="Times New Roman" w:eastAsia="Times New Roman" w:hAnsi="Times New Roman" w:cs="Times New Roman"/>
      <w:b/>
      <w:bCs/>
      <w:sz w:val="27"/>
      <w:szCs w:val="27"/>
      <w:lang w:eastAsia="en-ZA"/>
    </w:rPr>
  </w:style>
  <w:style w:type="character" w:styleId="Hyperlink">
    <w:name w:val="Hyperlink"/>
    <w:basedOn w:val="DefaultParagraphFont"/>
    <w:uiPriority w:val="99"/>
    <w:semiHidden/>
    <w:unhideWhenUsed/>
    <w:rsid w:val="004B6D63"/>
    <w:rPr>
      <w:color w:val="0000FF"/>
      <w:u w:val="single"/>
    </w:rPr>
  </w:style>
  <w:style w:type="paragraph" w:styleId="NormalWeb">
    <w:name w:val="Normal (Web)"/>
    <w:basedOn w:val="Normal"/>
    <w:uiPriority w:val="99"/>
    <w:semiHidden/>
    <w:unhideWhenUsed/>
    <w:rsid w:val="004B6D63"/>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Emphasis">
    <w:name w:val="Emphasis"/>
    <w:basedOn w:val="DefaultParagraphFont"/>
    <w:uiPriority w:val="20"/>
    <w:qFormat/>
    <w:rsid w:val="004B6D63"/>
    <w:rPr>
      <w:i/>
      <w:iCs/>
    </w:rPr>
  </w:style>
  <w:style w:type="paragraph" w:customStyle="1" w:styleId="insightsubheading">
    <w:name w:val="insightsubheading"/>
    <w:basedOn w:val="Normal"/>
    <w:rsid w:val="004B6D63"/>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4B6D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235694">
      <w:bodyDiv w:val="1"/>
      <w:marLeft w:val="0"/>
      <w:marRight w:val="0"/>
      <w:marTop w:val="0"/>
      <w:marBottom w:val="0"/>
      <w:divBdr>
        <w:top w:val="none" w:sz="0" w:space="0" w:color="auto"/>
        <w:left w:val="none" w:sz="0" w:space="0" w:color="auto"/>
        <w:bottom w:val="none" w:sz="0" w:space="0" w:color="auto"/>
        <w:right w:val="none" w:sz="0" w:space="0" w:color="auto"/>
      </w:divBdr>
      <w:divsChild>
        <w:div w:id="1721516090">
          <w:marLeft w:val="0"/>
          <w:marRight w:val="0"/>
          <w:marTop w:val="0"/>
          <w:marBottom w:val="0"/>
          <w:divBdr>
            <w:top w:val="none" w:sz="0" w:space="0" w:color="auto"/>
            <w:left w:val="none" w:sz="0" w:space="0" w:color="auto"/>
            <w:bottom w:val="none" w:sz="0" w:space="0" w:color="auto"/>
            <w:right w:val="none" w:sz="0" w:space="0" w:color="auto"/>
          </w:divBdr>
          <w:divsChild>
            <w:div w:id="1754084051">
              <w:marLeft w:val="-225"/>
              <w:marRight w:val="-225"/>
              <w:marTop w:val="0"/>
              <w:marBottom w:val="0"/>
              <w:divBdr>
                <w:top w:val="none" w:sz="0" w:space="0" w:color="auto"/>
                <w:left w:val="none" w:sz="0" w:space="0" w:color="auto"/>
                <w:bottom w:val="none" w:sz="0" w:space="0" w:color="auto"/>
                <w:right w:val="none" w:sz="0" w:space="0" w:color="auto"/>
              </w:divBdr>
              <w:divsChild>
                <w:div w:id="1860242555">
                  <w:marLeft w:val="0"/>
                  <w:marRight w:val="0"/>
                  <w:marTop w:val="0"/>
                  <w:marBottom w:val="0"/>
                  <w:divBdr>
                    <w:top w:val="none" w:sz="0" w:space="0" w:color="auto"/>
                    <w:left w:val="none" w:sz="0" w:space="0" w:color="auto"/>
                    <w:bottom w:val="none" w:sz="0" w:space="0" w:color="auto"/>
                    <w:right w:val="none" w:sz="0" w:space="0" w:color="auto"/>
                  </w:divBdr>
                  <w:divsChild>
                    <w:div w:id="300768663">
                      <w:marLeft w:val="0"/>
                      <w:marRight w:val="0"/>
                      <w:marTop w:val="0"/>
                      <w:marBottom w:val="0"/>
                      <w:divBdr>
                        <w:top w:val="none" w:sz="0" w:space="0" w:color="auto"/>
                        <w:left w:val="none" w:sz="0" w:space="0" w:color="auto"/>
                        <w:bottom w:val="none" w:sz="0" w:space="0" w:color="auto"/>
                        <w:right w:val="none" w:sz="0" w:space="0" w:color="auto"/>
                      </w:divBdr>
                    </w:div>
                    <w:div w:id="3178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0733">
          <w:marLeft w:val="-225"/>
          <w:marRight w:val="-225"/>
          <w:marTop w:val="0"/>
          <w:marBottom w:val="0"/>
          <w:divBdr>
            <w:top w:val="none" w:sz="0" w:space="0" w:color="auto"/>
            <w:left w:val="none" w:sz="0" w:space="0" w:color="auto"/>
            <w:bottom w:val="none" w:sz="0" w:space="0" w:color="auto"/>
            <w:right w:val="none" w:sz="0" w:space="0" w:color="auto"/>
          </w:divBdr>
          <w:divsChild>
            <w:div w:id="823350471">
              <w:marLeft w:val="0"/>
              <w:marRight w:val="0"/>
              <w:marTop w:val="0"/>
              <w:marBottom w:val="0"/>
              <w:divBdr>
                <w:top w:val="none" w:sz="0" w:space="0" w:color="auto"/>
                <w:left w:val="none" w:sz="0" w:space="0" w:color="auto"/>
                <w:bottom w:val="none" w:sz="0" w:space="0" w:color="auto"/>
                <w:right w:val="none" w:sz="0" w:space="0" w:color="auto"/>
              </w:divBdr>
              <w:divsChild>
                <w:div w:id="1765833461">
                  <w:marLeft w:val="0"/>
                  <w:marRight w:val="0"/>
                  <w:marTop w:val="0"/>
                  <w:marBottom w:val="450"/>
                  <w:divBdr>
                    <w:top w:val="none" w:sz="0" w:space="0" w:color="auto"/>
                    <w:left w:val="none" w:sz="0" w:space="0" w:color="auto"/>
                    <w:bottom w:val="none" w:sz="0" w:space="0" w:color="auto"/>
                    <w:right w:val="none" w:sz="0" w:space="0" w:color="auto"/>
                  </w:divBdr>
                  <w:divsChild>
                    <w:div w:id="1903829010">
                      <w:marLeft w:val="0"/>
                      <w:marRight w:val="0"/>
                      <w:marTop w:val="0"/>
                      <w:marBottom w:val="0"/>
                      <w:divBdr>
                        <w:top w:val="none" w:sz="0" w:space="0" w:color="auto"/>
                        <w:left w:val="none" w:sz="0" w:space="0" w:color="auto"/>
                        <w:bottom w:val="none" w:sz="0" w:space="0" w:color="auto"/>
                        <w:right w:val="none" w:sz="0" w:space="0" w:color="auto"/>
                      </w:divBdr>
                      <w:divsChild>
                        <w:div w:id="163193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bberwentzel.com/Specialists/Pages/Dario-Milo.aspx" TargetMode="External"/><Relationship Id="rId11" Type="http://schemas.openxmlformats.org/officeDocument/2006/relationships/customXml" Target="../customXml/item3.xml"/><Relationship Id="rId5" Type="http://schemas.openxmlformats.org/officeDocument/2006/relationships/hyperlink" Target="https://www.webberwentzel.com/Specialists/Pages/Peter-Grealy.aspx"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BA112F8E1C1B469A077E70BE5FBDC2" ma:contentTypeVersion="12" ma:contentTypeDescription="Create a new document." ma:contentTypeScope="" ma:versionID="a2a84b9953fc7dfd827a85f1c2d2ba87">
  <xsd:schema xmlns:xsd="http://www.w3.org/2001/XMLSchema" xmlns:xs="http://www.w3.org/2001/XMLSchema" xmlns:p="http://schemas.microsoft.com/office/2006/metadata/properties" xmlns:ns2="2f222a02-09f2-478d-a526-360da6e97956" xmlns:ns3="65e7802e-76db-4dee-adfa-a54b9c29ee9c" targetNamespace="http://schemas.microsoft.com/office/2006/metadata/properties" ma:root="true" ma:fieldsID="ee4bfe78e6501741fd7bed28f0a98022" ns2:_="" ns3:_="">
    <xsd:import namespace="2f222a02-09f2-478d-a526-360da6e97956"/>
    <xsd:import namespace="65e7802e-76db-4dee-adfa-a54b9c29ee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22a02-09f2-478d-a526-360da6e97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e7802e-76db-4dee-adfa-a54b9c29ee9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953F38-CF88-4C7C-9931-6AC664121E23}"/>
</file>

<file path=customXml/itemProps2.xml><?xml version="1.0" encoding="utf-8"?>
<ds:datastoreItem xmlns:ds="http://schemas.openxmlformats.org/officeDocument/2006/customXml" ds:itemID="{BBF83A75-2A7F-4BBC-B4F6-A7B7E639B603}"/>
</file>

<file path=customXml/itemProps3.xml><?xml version="1.0" encoding="utf-8"?>
<ds:datastoreItem xmlns:ds="http://schemas.openxmlformats.org/officeDocument/2006/customXml" ds:itemID="{34DDAB26-FD0F-469B-A429-5F75ABC394D9}"/>
</file>

<file path=docProps/app.xml><?xml version="1.0" encoding="utf-8"?>
<Properties xmlns="http://schemas.openxmlformats.org/officeDocument/2006/extended-properties" xmlns:vt="http://schemas.openxmlformats.org/officeDocument/2006/docPropsVTypes">
  <Template>Normal</Template>
  <TotalTime>3</TotalTime>
  <Pages>3</Pages>
  <Words>822</Words>
  <Characters>4692</Characters>
  <Application>Microsoft Office Word</Application>
  <DocSecurity>0</DocSecurity>
  <Lines>39</Lines>
  <Paragraphs>11</Paragraphs>
  <ScaleCrop>false</ScaleCrop>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Van Tonder</dc:creator>
  <cp:keywords/>
  <dc:description/>
  <cp:lastModifiedBy>Nadine Van Tonder</cp:lastModifiedBy>
  <cp:revision>1</cp:revision>
  <dcterms:created xsi:type="dcterms:W3CDTF">2021-06-25T06:30:00Z</dcterms:created>
  <dcterms:modified xsi:type="dcterms:W3CDTF">2021-06-25T06:33:00Z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0x01010064BA112F8E1C1B469A077E70BE5FBDC2</vt:lpwstr>
  </property>
</Properties>
</file>